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8B2B3">
      <w:pPr>
        <w:spacing w:line="720" w:lineRule="auto"/>
        <w:jc w:val="center"/>
        <w:rPr>
          <w:rStyle w:val="33"/>
          <w:rFonts w:hint="eastAsia" w:ascii="宋体" w:hAnsi="宋体" w:eastAsia="宋体" w:cs="宋体"/>
          <w:sz w:val="84"/>
          <w:szCs w:val="84"/>
        </w:rPr>
      </w:pPr>
    </w:p>
    <w:p w14:paraId="02CBFF6F">
      <w:pPr>
        <w:spacing w:line="720" w:lineRule="auto"/>
        <w:rPr>
          <w:rStyle w:val="33"/>
          <w:rFonts w:hint="eastAsia" w:ascii="宋体" w:hAnsi="宋体" w:eastAsia="宋体" w:cs="宋体"/>
          <w:sz w:val="84"/>
          <w:szCs w:val="84"/>
        </w:rPr>
      </w:pPr>
    </w:p>
    <w:p w14:paraId="29B5FF31">
      <w:pPr>
        <w:spacing w:line="720" w:lineRule="auto"/>
        <w:jc w:val="center"/>
        <w:rPr>
          <w:rFonts w:hint="eastAsia" w:ascii="宋体" w:hAnsi="宋体" w:eastAsia="宋体" w:cs="宋体"/>
          <w:b/>
          <w:spacing w:val="40"/>
          <w:sz w:val="84"/>
          <w:szCs w:val="84"/>
        </w:rPr>
      </w:pPr>
      <w:r>
        <w:rPr>
          <w:rFonts w:hint="eastAsia" w:ascii="宋体" w:hAnsi="宋体" w:eastAsia="宋体" w:cs="宋体"/>
          <w:b/>
          <w:bCs/>
          <w:color w:val="000000"/>
          <w:spacing w:val="100"/>
          <w:w w:val="66"/>
          <w:sz w:val="120"/>
          <w:szCs w:val="120"/>
          <w:lang w:val="en-US" w:eastAsia="zh-CN"/>
        </w:rPr>
        <w:t>竞争性谈判文件</w:t>
      </w:r>
    </w:p>
    <w:p w14:paraId="657F8469">
      <w:pPr>
        <w:pStyle w:val="22"/>
        <w:spacing w:line="500" w:lineRule="exact"/>
        <w:ind w:firstLine="486"/>
        <w:rPr>
          <w:rFonts w:hint="eastAsia" w:ascii="宋体" w:hAnsi="宋体" w:eastAsia="宋体" w:cs="宋体"/>
        </w:rPr>
      </w:pPr>
    </w:p>
    <w:p w14:paraId="5A4B3862">
      <w:pPr>
        <w:spacing w:line="500" w:lineRule="exact"/>
        <w:jc w:val="center"/>
        <w:rPr>
          <w:rFonts w:hint="eastAsia" w:ascii="宋体" w:hAnsi="宋体" w:eastAsia="宋体" w:cs="宋体"/>
          <w:b/>
          <w:sz w:val="96"/>
          <w:szCs w:val="96"/>
        </w:rPr>
      </w:pPr>
    </w:p>
    <w:p w14:paraId="7B80E11C">
      <w:pPr>
        <w:spacing w:line="500" w:lineRule="exact"/>
        <w:jc w:val="center"/>
        <w:rPr>
          <w:rFonts w:hint="eastAsia" w:ascii="宋体" w:hAnsi="宋体" w:eastAsia="宋体" w:cs="宋体"/>
          <w:b/>
          <w:sz w:val="96"/>
          <w:szCs w:val="96"/>
        </w:rPr>
      </w:pPr>
    </w:p>
    <w:p w14:paraId="3EF16695">
      <w:pPr>
        <w:spacing w:line="500" w:lineRule="exact"/>
        <w:jc w:val="center"/>
        <w:rPr>
          <w:rFonts w:hint="eastAsia" w:ascii="宋体" w:hAnsi="宋体" w:eastAsia="宋体" w:cs="宋体"/>
          <w:b/>
          <w:sz w:val="96"/>
          <w:szCs w:val="96"/>
        </w:rPr>
      </w:pPr>
    </w:p>
    <w:p w14:paraId="0439DFC3">
      <w:pPr>
        <w:spacing w:line="500" w:lineRule="exact"/>
        <w:jc w:val="center"/>
        <w:rPr>
          <w:rFonts w:hint="eastAsia" w:ascii="宋体" w:hAnsi="宋体" w:eastAsia="宋体" w:cs="宋体"/>
          <w:b/>
          <w:sz w:val="96"/>
          <w:szCs w:val="96"/>
        </w:rPr>
      </w:pPr>
    </w:p>
    <w:p w14:paraId="0D7DD318">
      <w:pPr>
        <w:spacing w:line="500" w:lineRule="exact"/>
        <w:jc w:val="center"/>
        <w:rPr>
          <w:rFonts w:hint="eastAsia" w:ascii="宋体" w:hAnsi="宋体" w:eastAsia="宋体" w:cs="宋体"/>
          <w:b/>
          <w:sz w:val="96"/>
          <w:szCs w:val="96"/>
        </w:rPr>
      </w:pPr>
    </w:p>
    <w:p w14:paraId="159B8A0B">
      <w:pPr>
        <w:keepNext w:val="0"/>
        <w:keepLines w:val="0"/>
        <w:pageBreakBefore w:val="0"/>
        <w:widowControl w:val="0"/>
        <w:kinsoku/>
        <w:wordWrap/>
        <w:overflowPunct/>
        <w:topLinePunct w:val="0"/>
        <w:autoSpaceDE/>
        <w:autoSpaceDN/>
        <w:bidi w:val="0"/>
        <w:adjustRightInd/>
        <w:snapToGrid/>
        <w:spacing w:line="600" w:lineRule="auto"/>
        <w:ind w:firstLine="1285" w:firstLineChars="400"/>
        <w:jc w:val="left"/>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项目编号：LTHS2026104</w:t>
      </w:r>
    </w:p>
    <w:p w14:paraId="47F1D5AD">
      <w:pPr>
        <w:keepNext w:val="0"/>
        <w:keepLines w:val="0"/>
        <w:pageBreakBefore w:val="0"/>
        <w:widowControl w:val="0"/>
        <w:kinsoku/>
        <w:wordWrap/>
        <w:overflowPunct/>
        <w:topLinePunct w:val="0"/>
        <w:autoSpaceDE/>
        <w:autoSpaceDN/>
        <w:bidi w:val="0"/>
        <w:adjustRightInd/>
        <w:snapToGrid/>
        <w:spacing w:line="600" w:lineRule="auto"/>
        <w:ind w:firstLine="1285" w:firstLineChars="400"/>
        <w:jc w:val="left"/>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项目名称：大冶市还地桥镇政府机关办公文具用品采购项目</w:t>
      </w:r>
    </w:p>
    <w:p w14:paraId="07CF7555">
      <w:pPr>
        <w:keepNext w:val="0"/>
        <w:keepLines w:val="0"/>
        <w:pageBreakBefore w:val="0"/>
        <w:kinsoku/>
        <w:wordWrap/>
        <w:overflowPunct/>
        <w:topLinePunct w:val="0"/>
        <w:bidi w:val="0"/>
        <w:spacing w:line="600" w:lineRule="auto"/>
        <w:ind w:firstLine="1285" w:firstLineChars="4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000000"/>
          <w:sz w:val="32"/>
          <w:szCs w:val="32"/>
        </w:rPr>
        <w:t>采购单位：</w:t>
      </w:r>
      <w:r>
        <w:rPr>
          <w:rFonts w:hint="eastAsia" w:ascii="宋体" w:hAnsi="宋体" w:eastAsia="宋体" w:cs="宋体"/>
          <w:b/>
          <w:bCs/>
          <w:color w:val="000000"/>
          <w:sz w:val="32"/>
          <w:szCs w:val="32"/>
          <w:lang w:val="en-US" w:eastAsia="zh-CN"/>
        </w:rPr>
        <w:t>大冶市还地桥镇党政综合办公室</w:t>
      </w:r>
    </w:p>
    <w:p w14:paraId="144E574F">
      <w:pPr>
        <w:pStyle w:val="6"/>
        <w:outlineLvl w:val="9"/>
        <w:rPr>
          <w:rFonts w:hint="eastAsia" w:ascii="宋体" w:hAnsi="宋体" w:eastAsia="宋体" w:cs="宋体"/>
          <w:lang w:val="en-US" w:eastAsia="zh-CN"/>
        </w:rPr>
      </w:pPr>
    </w:p>
    <w:p w14:paraId="26B5DD72">
      <w:pPr>
        <w:keepNext w:val="0"/>
        <w:keepLines w:val="0"/>
        <w:pageBreakBefore w:val="0"/>
        <w:kinsoku/>
        <w:wordWrap/>
        <w:overflowPunct/>
        <w:topLinePunct w:val="0"/>
        <w:bidi w:val="0"/>
        <w:spacing w:line="500" w:lineRule="exact"/>
        <w:ind w:firstLine="1767" w:firstLineChars="550"/>
        <w:textAlignment w:val="auto"/>
        <w:rPr>
          <w:rFonts w:hint="eastAsia" w:ascii="宋体" w:hAnsi="宋体" w:eastAsia="宋体" w:cs="宋体"/>
          <w:b/>
          <w:bCs/>
          <w:color w:val="auto"/>
          <w:sz w:val="32"/>
          <w:szCs w:val="32"/>
          <w:lang w:val="en-US" w:eastAsia="zh-CN"/>
        </w:rPr>
      </w:pPr>
    </w:p>
    <w:p w14:paraId="08C60565">
      <w:pPr>
        <w:keepNext w:val="0"/>
        <w:keepLines w:val="0"/>
        <w:pageBreakBefore w:val="0"/>
        <w:kinsoku/>
        <w:wordWrap/>
        <w:overflowPunct/>
        <w:topLinePunct w:val="0"/>
        <w:bidi w:val="0"/>
        <w:spacing w:line="500" w:lineRule="exact"/>
        <w:textAlignment w:val="auto"/>
        <w:rPr>
          <w:rFonts w:hint="eastAsia" w:ascii="宋体" w:hAnsi="宋体" w:eastAsia="宋体" w:cs="宋体"/>
          <w:b/>
          <w:bCs/>
          <w:color w:val="auto"/>
          <w:sz w:val="32"/>
          <w:szCs w:val="32"/>
          <w:lang w:val="en-US" w:eastAsia="zh-CN"/>
        </w:rPr>
      </w:pPr>
    </w:p>
    <w:p w14:paraId="03797F88">
      <w:pPr>
        <w:numPr>
          <w:ilvl w:val="0"/>
          <w:numId w:val="0"/>
        </w:numPr>
        <w:tabs>
          <w:tab w:val="left" w:pos="2625"/>
        </w:tabs>
        <w:ind w:leftChars="0"/>
        <w:jc w:val="center"/>
        <w:outlineLvl w:val="9"/>
        <w:rPr>
          <w:rFonts w:hint="eastAsia" w:ascii="宋体" w:hAnsi="宋体" w:eastAsia="宋体" w:cs="宋体"/>
          <w:b/>
          <w:bCs/>
          <w:color w:val="000000"/>
          <w:spacing w:val="45"/>
          <w:sz w:val="36"/>
          <w:szCs w:val="36"/>
          <w:lang w:eastAsia="zh-CN"/>
        </w:rPr>
      </w:pPr>
      <w:r>
        <w:rPr>
          <w:rFonts w:hint="eastAsia" w:ascii="宋体" w:hAnsi="宋体" w:eastAsia="宋体" w:cs="宋体"/>
          <w:b/>
          <w:bCs/>
          <w:color w:val="000000"/>
          <w:spacing w:val="45"/>
          <w:sz w:val="36"/>
          <w:szCs w:val="36"/>
          <w:lang w:val="en-US" w:eastAsia="zh-CN"/>
        </w:rPr>
        <w:t>兰天项目管理有限公司</w:t>
      </w:r>
    </w:p>
    <w:p w14:paraId="3222B22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2026年01月</w:t>
      </w:r>
    </w:p>
    <w:p w14:paraId="6A4C0971">
      <w:pPr>
        <w:spacing w:line="500" w:lineRule="exact"/>
        <w:rPr>
          <w:rFonts w:hint="eastAsia" w:ascii="宋体" w:hAnsi="宋体" w:eastAsia="宋体" w:cs="宋体"/>
          <w:sz w:val="32"/>
          <w:szCs w:val="32"/>
        </w:rPr>
      </w:pPr>
    </w:p>
    <w:p w14:paraId="1C0F40CE">
      <w:pPr>
        <w:spacing w:line="500" w:lineRule="exact"/>
        <w:jc w:val="center"/>
        <w:outlineLvl w:val="9"/>
        <w:rPr>
          <w:rFonts w:hint="eastAsia" w:ascii="宋体" w:hAnsi="宋体" w:eastAsia="宋体" w:cs="宋体"/>
          <w:b/>
          <w:sz w:val="44"/>
          <w:szCs w:val="44"/>
        </w:rPr>
      </w:pPr>
    </w:p>
    <w:p w14:paraId="2B3DF0AB">
      <w:pPr>
        <w:rPr>
          <w:rFonts w:hint="eastAsia" w:ascii="宋体" w:hAnsi="宋体" w:eastAsia="宋体" w:cs="宋体"/>
          <w:b/>
          <w:sz w:val="44"/>
          <w:szCs w:val="44"/>
        </w:rPr>
      </w:pPr>
      <w:r>
        <w:rPr>
          <w:rFonts w:hint="eastAsia" w:ascii="宋体" w:hAnsi="宋体" w:eastAsia="宋体" w:cs="宋体"/>
          <w:b/>
          <w:sz w:val="44"/>
          <w:szCs w:val="44"/>
        </w:rPr>
        <w:br w:type="page"/>
      </w:r>
    </w:p>
    <w:p w14:paraId="6435B5F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 xml:space="preserve">目 </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录</w:t>
      </w:r>
    </w:p>
    <w:p w14:paraId="1C3B1692">
      <w:pPr>
        <w:spacing w:line="500" w:lineRule="exact"/>
        <w:jc w:val="center"/>
        <w:rPr>
          <w:rFonts w:hint="eastAsia" w:ascii="宋体" w:hAnsi="宋体" w:eastAsia="宋体" w:cs="宋体"/>
          <w:sz w:val="32"/>
          <w:szCs w:val="32"/>
        </w:rPr>
      </w:pPr>
    </w:p>
    <w:sdt>
      <w:sdtPr>
        <w:rPr>
          <w:rFonts w:hint="eastAsia" w:ascii="宋体" w:hAnsi="宋体" w:eastAsia="宋体" w:cs="宋体"/>
          <w:kern w:val="2"/>
          <w:sz w:val="21"/>
          <w:szCs w:val="24"/>
          <w:lang w:val="en-US" w:eastAsia="zh-CN" w:bidi="ar-SA"/>
        </w:rPr>
        <w:id w:val="147471179"/>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5F15FEC5">
          <w:pPr>
            <w:spacing w:before="0" w:beforeLines="0" w:after="0" w:afterLines="0" w:line="240" w:lineRule="auto"/>
            <w:ind w:left="0" w:leftChars="0" w:right="0" w:rightChars="0" w:firstLine="0" w:firstLineChars="0"/>
            <w:jc w:val="center"/>
            <w:rPr>
              <w:rFonts w:hint="eastAsia" w:ascii="宋体" w:hAnsi="宋体" w:eastAsia="宋体" w:cs="宋体"/>
            </w:rPr>
          </w:pPr>
        </w:p>
        <w:p w14:paraId="16E9CDF0">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fldChar w:fldCharType="begin"/>
          </w:r>
          <w:r>
            <w:instrText xml:space="preserve">TOC \o "1-3" \h \u </w:instrText>
          </w:r>
          <w:r>
            <w:fldChar w:fldCharType="separate"/>
          </w:r>
          <w:r>
            <w:rPr>
              <w:sz w:val="28"/>
              <w:szCs w:val="28"/>
            </w:rPr>
            <w:fldChar w:fldCharType="begin"/>
          </w:r>
          <w:r>
            <w:rPr>
              <w:sz w:val="28"/>
              <w:szCs w:val="28"/>
            </w:rPr>
            <w:instrText xml:space="preserve"> HYPERLINK \l _Toc30409 </w:instrText>
          </w:r>
          <w:r>
            <w:rPr>
              <w:sz w:val="28"/>
              <w:szCs w:val="28"/>
            </w:rPr>
            <w:fldChar w:fldCharType="separate"/>
          </w:r>
          <w:r>
            <w:rPr>
              <w:rFonts w:hint="eastAsia"/>
              <w:sz w:val="28"/>
              <w:szCs w:val="28"/>
            </w:rPr>
            <w:t>第一部分  谈判邀请函</w:t>
          </w:r>
          <w:r>
            <w:rPr>
              <w:sz w:val="28"/>
              <w:szCs w:val="28"/>
            </w:rPr>
            <w:tab/>
          </w:r>
          <w:r>
            <w:rPr>
              <w:sz w:val="28"/>
              <w:szCs w:val="28"/>
            </w:rPr>
            <w:fldChar w:fldCharType="begin"/>
          </w:r>
          <w:r>
            <w:rPr>
              <w:sz w:val="28"/>
              <w:szCs w:val="28"/>
            </w:rPr>
            <w:instrText xml:space="preserve"> PAGEREF _Toc30409 \h </w:instrText>
          </w:r>
          <w:r>
            <w:rPr>
              <w:sz w:val="28"/>
              <w:szCs w:val="28"/>
            </w:rPr>
            <w:fldChar w:fldCharType="separate"/>
          </w:r>
          <w:r>
            <w:rPr>
              <w:sz w:val="28"/>
              <w:szCs w:val="28"/>
            </w:rPr>
            <w:t>2</w:t>
          </w:r>
          <w:r>
            <w:rPr>
              <w:sz w:val="28"/>
              <w:szCs w:val="28"/>
            </w:rPr>
            <w:fldChar w:fldCharType="end"/>
          </w:r>
          <w:r>
            <w:rPr>
              <w:sz w:val="28"/>
              <w:szCs w:val="28"/>
            </w:rPr>
            <w:fldChar w:fldCharType="end"/>
          </w:r>
        </w:p>
        <w:p w14:paraId="6F7935AF">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_Toc9479 </w:instrText>
          </w:r>
          <w:r>
            <w:rPr>
              <w:sz w:val="28"/>
              <w:szCs w:val="28"/>
            </w:rPr>
            <w:fldChar w:fldCharType="separate"/>
          </w:r>
          <w:r>
            <w:rPr>
              <w:rFonts w:hint="eastAsia" w:ascii="宋体" w:hAnsi="宋体" w:eastAsia="宋体" w:cs="宋体"/>
              <w:sz w:val="28"/>
              <w:szCs w:val="28"/>
            </w:rPr>
            <w:t>第二部分  谈判须知</w:t>
          </w:r>
          <w:r>
            <w:rPr>
              <w:sz w:val="28"/>
              <w:szCs w:val="28"/>
            </w:rPr>
            <w:tab/>
          </w:r>
          <w:r>
            <w:rPr>
              <w:sz w:val="28"/>
              <w:szCs w:val="28"/>
            </w:rPr>
            <w:fldChar w:fldCharType="begin"/>
          </w:r>
          <w:r>
            <w:rPr>
              <w:sz w:val="28"/>
              <w:szCs w:val="28"/>
            </w:rPr>
            <w:instrText xml:space="preserve"> PAGEREF _Toc9479 \h </w:instrText>
          </w:r>
          <w:r>
            <w:rPr>
              <w:sz w:val="28"/>
              <w:szCs w:val="28"/>
            </w:rPr>
            <w:fldChar w:fldCharType="separate"/>
          </w:r>
          <w:r>
            <w:rPr>
              <w:sz w:val="28"/>
              <w:szCs w:val="28"/>
            </w:rPr>
            <w:t>6</w:t>
          </w:r>
          <w:r>
            <w:rPr>
              <w:sz w:val="28"/>
              <w:szCs w:val="28"/>
            </w:rPr>
            <w:fldChar w:fldCharType="end"/>
          </w:r>
          <w:r>
            <w:rPr>
              <w:sz w:val="28"/>
              <w:szCs w:val="28"/>
            </w:rPr>
            <w:fldChar w:fldCharType="end"/>
          </w:r>
        </w:p>
        <w:p w14:paraId="73959CD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_Toc28441 </w:instrText>
          </w:r>
          <w:r>
            <w:rPr>
              <w:sz w:val="28"/>
              <w:szCs w:val="28"/>
            </w:rPr>
            <w:fldChar w:fldCharType="separate"/>
          </w:r>
          <w:r>
            <w:rPr>
              <w:rFonts w:hint="eastAsia" w:ascii="宋体" w:hAnsi="宋体" w:eastAsia="宋体" w:cs="宋体"/>
              <w:sz w:val="28"/>
              <w:szCs w:val="28"/>
            </w:rPr>
            <w:t>第三部分  采购项目技术规格及要求</w:t>
          </w:r>
          <w:r>
            <w:rPr>
              <w:sz w:val="28"/>
              <w:szCs w:val="28"/>
            </w:rPr>
            <w:tab/>
          </w:r>
          <w:r>
            <w:rPr>
              <w:sz w:val="28"/>
              <w:szCs w:val="28"/>
            </w:rPr>
            <w:fldChar w:fldCharType="begin"/>
          </w:r>
          <w:r>
            <w:rPr>
              <w:sz w:val="28"/>
              <w:szCs w:val="28"/>
            </w:rPr>
            <w:instrText xml:space="preserve"> PAGEREF _Toc28441 \h </w:instrText>
          </w:r>
          <w:r>
            <w:rPr>
              <w:sz w:val="28"/>
              <w:szCs w:val="28"/>
            </w:rPr>
            <w:fldChar w:fldCharType="separate"/>
          </w:r>
          <w:r>
            <w:rPr>
              <w:sz w:val="28"/>
              <w:szCs w:val="28"/>
            </w:rPr>
            <w:t>11</w:t>
          </w:r>
          <w:r>
            <w:rPr>
              <w:sz w:val="28"/>
              <w:szCs w:val="28"/>
            </w:rPr>
            <w:fldChar w:fldCharType="end"/>
          </w:r>
          <w:r>
            <w:rPr>
              <w:sz w:val="28"/>
              <w:szCs w:val="28"/>
            </w:rPr>
            <w:fldChar w:fldCharType="end"/>
          </w:r>
        </w:p>
        <w:p w14:paraId="7AA244E3">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_Toc20338 </w:instrText>
          </w:r>
          <w:r>
            <w:rPr>
              <w:sz w:val="28"/>
              <w:szCs w:val="28"/>
            </w:rPr>
            <w:fldChar w:fldCharType="separate"/>
          </w:r>
          <w:r>
            <w:rPr>
              <w:rFonts w:hint="eastAsia" w:ascii="宋体" w:hAnsi="宋体" w:eastAsia="宋体" w:cs="宋体"/>
              <w:sz w:val="28"/>
              <w:szCs w:val="28"/>
              <w:lang w:val="hr-HR"/>
            </w:rPr>
            <w:t>第四</w:t>
          </w:r>
          <w:r>
            <w:rPr>
              <w:rFonts w:hint="eastAsia" w:ascii="宋体" w:hAnsi="宋体" w:eastAsia="宋体" w:cs="宋体"/>
              <w:sz w:val="28"/>
              <w:szCs w:val="28"/>
              <w:lang w:val="en-US" w:eastAsia="zh-CN"/>
            </w:rPr>
            <w:t>部分</w:t>
          </w:r>
          <w:r>
            <w:rPr>
              <w:rFonts w:hint="eastAsia" w:ascii="宋体" w:hAnsi="宋体" w:eastAsia="宋体" w:cs="宋体"/>
              <w:sz w:val="28"/>
              <w:szCs w:val="28"/>
              <w:lang w:val="hr-HR"/>
            </w:rPr>
            <w:t xml:space="preserve">  合同书（格式）</w:t>
          </w:r>
          <w:r>
            <w:rPr>
              <w:sz w:val="28"/>
              <w:szCs w:val="28"/>
            </w:rPr>
            <w:tab/>
          </w:r>
          <w:r>
            <w:rPr>
              <w:sz w:val="28"/>
              <w:szCs w:val="28"/>
            </w:rPr>
            <w:fldChar w:fldCharType="begin"/>
          </w:r>
          <w:r>
            <w:rPr>
              <w:sz w:val="28"/>
              <w:szCs w:val="28"/>
            </w:rPr>
            <w:instrText xml:space="preserve"> PAGEREF _Toc20338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6C3C9F7">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_Toc31717 </w:instrText>
          </w:r>
          <w:r>
            <w:rPr>
              <w:sz w:val="28"/>
              <w:szCs w:val="28"/>
            </w:rPr>
            <w:fldChar w:fldCharType="separate"/>
          </w:r>
          <w:r>
            <w:rPr>
              <w:rFonts w:hint="eastAsia" w:ascii="宋体" w:hAnsi="宋体" w:eastAsia="宋体" w:cs="宋体"/>
              <w:sz w:val="28"/>
              <w:szCs w:val="28"/>
              <w:lang w:val="en-US" w:eastAsia="zh-CN"/>
            </w:rPr>
            <w:t>第五部分</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hr-HR"/>
            </w:rPr>
            <w:t>响应文件格式</w:t>
          </w:r>
          <w:r>
            <w:rPr>
              <w:sz w:val="28"/>
              <w:szCs w:val="28"/>
            </w:rPr>
            <w:tab/>
          </w:r>
          <w:r>
            <w:rPr>
              <w:sz w:val="28"/>
              <w:szCs w:val="28"/>
            </w:rPr>
            <w:fldChar w:fldCharType="begin"/>
          </w:r>
          <w:r>
            <w:rPr>
              <w:sz w:val="28"/>
              <w:szCs w:val="28"/>
            </w:rPr>
            <w:instrText xml:space="preserve"> PAGEREF _Toc31717 \h </w:instrText>
          </w:r>
          <w:r>
            <w:rPr>
              <w:sz w:val="28"/>
              <w:szCs w:val="28"/>
            </w:rPr>
            <w:fldChar w:fldCharType="separate"/>
          </w:r>
          <w:r>
            <w:rPr>
              <w:sz w:val="28"/>
              <w:szCs w:val="28"/>
            </w:rPr>
            <w:t>15</w:t>
          </w:r>
          <w:r>
            <w:rPr>
              <w:sz w:val="28"/>
              <w:szCs w:val="28"/>
            </w:rPr>
            <w:fldChar w:fldCharType="end"/>
          </w:r>
          <w:r>
            <w:rPr>
              <w:sz w:val="28"/>
              <w:szCs w:val="28"/>
            </w:rPr>
            <w:fldChar w:fldCharType="end"/>
          </w:r>
        </w:p>
        <w:p w14:paraId="35A47BB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pPr>
          <w:r>
            <w:rPr>
              <w:sz w:val="28"/>
              <w:szCs w:val="28"/>
            </w:rPr>
            <w:fldChar w:fldCharType="begin"/>
          </w:r>
          <w:r>
            <w:rPr>
              <w:sz w:val="28"/>
              <w:szCs w:val="28"/>
            </w:rPr>
            <w:instrText xml:space="preserve"> HYPERLINK \l _Toc12930 </w:instrText>
          </w:r>
          <w:r>
            <w:rPr>
              <w:sz w:val="28"/>
              <w:szCs w:val="28"/>
            </w:rPr>
            <w:fldChar w:fldCharType="separate"/>
          </w:r>
          <w:r>
            <w:rPr>
              <w:rFonts w:hint="eastAsia" w:ascii="宋体" w:hAnsi="宋体" w:eastAsia="宋体" w:cs="宋体"/>
              <w:sz w:val="28"/>
              <w:szCs w:val="28"/>
              <w:lang w:val="en-US" w:eastAsia="zh-CN"/>
            </w:rPr>
            <w:t>第六部分  资格后审证明文件</w:t>
          </w:r>
          <w:r>
            <w:rPr>
              <w:sz w:val="28"/>
              <w:szCs w:val="28"/>
            </w:rPr>
            <w:tab/>
          </w:r>
          <w:r>
            <w:rPr>
              <w:sz w:val="28"/>
              <w:szCs w:val="28"/>
            </w:rPr>
            <w:fldChar w:fldCharType="begin"/>
          </w:r>
          <w:r>
            <w:rPr>
              <w:sz w:val="28"/>
              <w:szCs w:val="28"/>
            </w:rPr>
            <w:instrText xml:space="preserve"> PAGEREF _Toc12930 \h </w:instrText>
          </w:r>
          <w:r>
            <w:rPr>
              <w:sz w:val="28"/>
              <w:szCs w:val="28"/>
            </w:rPr>
            <w:fldChar w:fldCharType="separate"/>
          </w:r>
          <w:r>
            <w:rPr>
              <w:sz w:val="28"/>
              <w:szCs w:val="28"/>
            </w:rPr>
            <w:t>31</w:t>
          </w:r>
          <w:r>
            <w:rPr>
              <w:sz w:val="28"/>
              <w:szCs w:val="28"/>
            </w:rPr>
            <w:fldChar w:fldCharType="end"/>
          </w:r>
          <w:r>
            <w:rPr>
              <w:sz w:val="28"/>
              <w:szCs w:val="28"/>
            </w:rPr>
            <w:fldChar w:fldCharType="end"/>
          </w:r>
        </w:p>
        <w:p w14:paraId="6F7A666D">
          <w:r>
            <w:fldChar w:fldCharType="end"/>
          </w:r>
        </w:p>
        <w:p w14:paraId="4D8128FF">
          <w:pPr>
            <w:spacing w:line="500" w:lineRule="exact"/>
            <w:rPr>
              <w:rFonts w:hint="eastAsia" w:ascii="宋体" w:hAnsi="宋体" w:eastAsia="宋体" w:cs="宋体"/>
              <w:sz w:val="28"/>
              <w:szCs w:val="28"/>
            </w:rPr>
          </w:pPr>
        </w:p>
      </w:sdtContent>
    </w:sdt>
    <w:p w14:paraId="1AC6DEF6">
      <w:pPr>
        <w:spacing w:line="500" w:lineRule="exact"/>
        <w:rPr>
          <w:rFonts w:hint="eastAsia" w:ascii="宋体" w:hAnsi="宋体" w:eastAsia="宋体" w:cs="宋体"/>
          <w:sz w:val="32"/>
          <w:szCs w:val="32"/>
        </w:rPr>
      </w:pPr>
    </w:p>
    <w:p w14:paraId="1B2F6BB5">
      <w:pPr>
        <w:spacing w:line="500" w:lineRule="exact"/>
        <w:rPr>
          <w:rFonts w:hint="eastAsia" w:ascii="宋体" w:hAnsi="宋体" w:eastAsia="宋体" w:cs="宋体"/>
          <w:sz w:val="32"/>
          <w:szCs w:val="32"/>
        </w:rPr>
      </w:pPr>
    </w:p>
    <w:p w14:paraId="72AD0A54">
      <w:pPr>
        <w:spacing w:line="500" w:lineRule="exact"/>
        <w:rPr>
          <w:rFonts w:hint="eastAsia" w:ascii="宋体" w:hAnsi="宋体" w:eastAsia="宋体" w:cs="宋体"/>
          <w:sz w:val="32"/>
          <w:szCs w:val="32"/>
        </w:rPr>
      </w:pPr>
    </w:p>
    <w:p w14:paraId="0D16B832">
      <w:pPr>
        <w:spacing w:line="500" w:lineRule="exact"/>
        <w:rPr>
          <w:rFonts w:hint="eastAsia" w:ascii="宋体" w:hAnsi="宋体" w:eastAsia="宋体" w:cs="宋体"/>
          <w:b/>
          <w:sz w:val="32"/>
          <w:szCs w:val="32"/>
        </w:rPr>
      </w:pPr>
    </w:p>
    <w:p w14:paraId="09DC86B0">
      <w:pPr>
        <w:spacing w:line="500" w:lineRule="exact"/>
        <w:rPr>
          <w:rFonts w:hint="eastAsia" w:ascii="宋体" w:hAnsi="宋体" w:eastAsia="宋体" w:cs="宋体"/>
          <w:b/>
          <w:sz w:val="32"/>
          <w:szCs w:val="32"/>
        </w:rPr>
      </w:pPr>
    </w:p>
    <w:p w14:paraId="6B10B590">
      <w:pPr>
        <w:spacing w:line="500" w:lineRule="exact"/>
        <w:rPr>
          <w:rFonts w:hint="eastAsia" w:ascii="宋体" w:hAnsi="宋体" w:eastAsia="宋体" w:cs="宋体"/>
          <w:b/>
          <w:sz w:val="32"/>
          <w:szCs w:val="32"/>
        </w:rPr>
      </w:pPr>
    </w:p>
    <w:p w14:paraId="0A5A5C1B">
      <w:pPr>
        <w:spacing w:line="500" w:lineRule="exact"/>
        <w:rPr>
          <w:rFonts w:hint="eastAsia" w:ascii="宋体" w:hAnsi="宋体" w:eastAsia="宋体" w:cs="宋体"/>
          <w:b/>
          <w:sz w:val="32"/>
          <w:szCs w:val="32"/>
        </w:rPr>
      </w:pPr>
    </w:p>
    <w:p w14:paraId="2F774BB8">
      <w:pPr>
        <w:spacing w:line="500" w:lineRule="exact"/>
        <w:rPr>
          <w:rFonts w:hint="eastAsia" w:ascii="宋体" w:hAnsi="宋体" w:eastAsia="宋体" w:cs="宋体"/>
          <w:b/>
          <w:sz w:val="32"/>
          <w:szCs w:val="32"/>
        </w:rPr>
      </w:pPr>
    </w:p>
    <w:p w14:paraId="386444D9">
      <w:pPr>
        <w:spacing w:line="500" w:lineRule="exact"/>
        <w:rPr>
          <w:rFonts w:hint="eastAsia" w:ascii="宋体" w:hAnsi="宋体" w:eastAsia="宋体" w:cs="宋体"/>
          <w:b/>
          <w:sz w:val="32"/>
          <w:szCs w:val="32"/>
        </w:rPr>
      </w:pPr>
    </w:p>
    <w:p w14:paraId="7225D13F">
      <w:pPr>
        <w:spacing w:line="500" w:lineRule="exact"/>
        <w:rPr>
          <w:rFonts w:hint="eastAsia" w:ascii="宋体" w:hAnsi="宋体" w:eastAsia="宋体" w:cs="宋体"/>
          <w:b/>
          <w:sz w:val="32"/>
          <w:szCs w:val="32"/>
        </w:rPr>
      </w:pPr>
    </w:p>
    <w:p w14:paraId="48A5FFCF">
      <w:pPr>
        <w:spacing w:line="500" w:lineRule="exact"/>
        <w:rPr>
          <w:rFonts w:hint="eastAsia" w:ascii="宋体" w:hAnsi="宋体" w:eastAsia="宋体" w:cs="宋体"/>
          <w:b/>
          <w:sz w:val="32"/>
          <w:szCs w:val="32"/>
        </w:rPr>
      </w:pPr>
    </w:p>
    <w:p w14:paraId="3DA5ECF7">
      <w:pPr>
        <w:pStyle w:val="29"/>
        <w:spacing w:line="500" w:lineRule="exact"/>
        <w:ind w:firstLine="0" w:firstLineChars="0"/>
        <w:jc w:val="center"/>
        <w:rPr>
          <w:rFonts w:hint="eastAsia" w:ascii="宋体" w:hAnsi="宋体" w:eastAsia="宋体" w:cs="宋体"/>
          <w:b/>
          <w:sz w:val="32"/>
          <w:szCs w:val="32"/>
        </w:rPr>
      </w:pPr>
    </w:p>
    <w:p w14:paraId="7E46053C">
      <w:pPr>
        <w:pStyle w:val="29"/>
        <w:spacing w:line="500" w:lineRule="exact"/>
        <w:ind w:firstLine="0" w:firstLineChars="0"/>
        <w:jc w:val="center"/>
        <w:rPr>
          <w:rFonts w:hint="eastAsia" w:ascii="宋体" w:hAnsi="宋体" w:eastAsia="宋体" w:cs="宋体"/>
          <w:b/>
          <w:sz w:val="32"/>
          <w:szCs w:val="32"/>
        </w:rPr>
      </w:pPr>
    </w:p>
    <w:p w14:paraId="73F038E7">
      <w:pPr>
        <w:pStyle w:val="29"/>
        <w:spacing w:line="500" w:lineRule="exact"/>
        <w:ind w:firstLine="0" w:firstLineChars="0"/>
        <w:jc w:val="center"/>
        <w:rPr>
          <w:rFonts w:hint="eastAsia" w:ascii="宋体" w:hAnsi="宋体" w:eastAsia="宋体" w:cs="宋体"/>
          <w:b/>
          <w:sz w:val="32"/>
          <w:szCs w:val="32"/>
        </w:rPr>
      </w:pPr>
    </w:p>
    <w:p w14:paraId="764887FC">
      <w:pPr>
        <w:pStyle w:val="29"/>
        <w:spacing w:line="26" w:lineRule="atLeast"/>
        <w:ind w:left="0" w:leftChars="0" w:firstLine="0" w:firstLineChars="0"/>
        <w:jc w:val="both"/>
        <w:rPr>
          <w:rFonts w:hint="eastAsia" w:ascii="宋体" w:hAnsi="宋体" w:eastAsia="宋体" w:cs="宋体"/>
          <w:b/>
          <w:szCs w:val="21"/>
        </w:rPr>
      </w:pPr>
    </w:p>
    <w:p w14:paraId="2553E71A">
      <w:pPr>
        <w:pStyle w:val="3"/>
        <w:bidi w:val="0"/>
        <w:jc w:val="center"/>
        <w:rPr>
          <w:rFonts w:hint="eastAsia"/>
          <w:sz w:val="24"/>
          <w:szCs w:val="24"/>
        </w:rPr>
      </w:pPr>
      <w:bookmarkStart w:id="0" w:name="_Toc30409"/>
      <w:bookmarkStart w:id="1" w:name="_Toc15620"/>
      <w:bookmarkStart w:id="2" w:name="_Toc9195"/>
      <w:r>
        <w:rPr>
          <w:rFonts w:hint="eastAsia"/>
          <w:sz w:val="24"/>
          <w:szCs w:val="24"/>
        </w:rPr>
        <w:t>第一部分  谈判邀请函</w:t>
      </w:r>
      <w:bookmarkEnd w:id="0"/>
      <w:bookmarkEnd w:id="1"/>
      <w:bookmarkEnd w:id="2"/>
    </w:p>
    <w:p w14:paraId="29E37A6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兰天项目管理有限公司</w:t>
      </w:r>
      <w:r>
        <w:rPr>
          <w:rFonts w:hint="eastAsia" w:ascii="宋体" w:hAnsi="宋体" w:eastAsia="宋体" w:cs="宋体"/>
          <w:sz w:val="24"/>
          <w:szCs w:val="24"/>
        </w:rPr>
        <w:t>受</w:t>
      </w:r>
      <w:r>
        <w:rPr>
          <w:rFonts w:hint="eastAsia" w:ascii="宋体" w:hAnsi="宋体" w:eastAsia="宋体" w:cs="宋体"/>
          <w:sz w:val="24"/>
          <w:szCs w:val="24"/>
          <w:lang w:val="en-US" w:eastAsia="zh-CN"/>
        </w:rPr>
        <w:t>大冶市还地桥镇党政综合办公室</w:t>
      </w:r>
      <w:r>
        <w:rPr>
          <w:rFonts w:hint="eastAsia" w:ascii="宋体" w:hAnsi="宋体" w:eastAsia="宋体" w:cs="宋体"/>
          <w:sz w:val="24"/>
          <w:szCs w:val="24"/>
        </w:rPr>
        <w:t>的委托，拟就</w:t>
      </w:r>
      <w:r>
        <w:rPr>
          <w:rFonts w:hint="eastAsia" w:ascii="宋体" w:hAnsi="宋体" w:eastAsia="宋体" w:cs="宋体"/>
          <w:sz w:val="24"/>
          <w:szCs w:val="24"/>
          <w:lang w:val="en-US" w:eastAsia="zh-CN"/>
        </w:rPr>
        <w:t>大冶市还地桥镇政府机关办公文具用品采购项目项目</w:t>
      </w:r>
      <w:r>
        <w:rPr>
          <w:rFonts w:hint="eastAsia" w:ascii="宋体" w:hAnsi="宋体" w:eastAsia="宋体" w:cs="宋体"/>
          <w:sz w:val="24"/>
          <w:szCs w:val="24"/>
        </w:rPr>
        <w:t>进行竞争性谈判。现欢迎符合条件的供应商参加谈判。</w:t>
      </w:r>
    </w:p>
    <w:p w14:paraId="2C28930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0E1F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采购项目编号：</w:t>
      </w:r>
      <w:r>
        <w:rPr>
          <w:rFonts w:hint="eastAsia" w:ascii="宋体" w:hAnsi="宋体" w:eastAsia="宋体" w:cs="宋体"/>
          <w:sz w:val="24"/>
          <w:szCs w:val="24"/>
          <w:lang w:eastAsia="zh-CN"/>
        </w:rPr>
        <w:t>LTHS2026104</w:t>
      </w:r>
    </w:p>
    <w:p w14:paraId="1111B7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采购项目名称：</w:t>
      </w:r>
      <w:r>
        <w:rPr>
          <w:rFonts w:hint="eastAsia" w:ascii="宋体" w:hAnsi="宋体" w:eastAsia="宋体" w:cs="宋体"/>
          <w:sz w:val="24"/>
          <w:szCs w:val="24"/>
          <w:lang w:val="en-US" w:eastAsia="zh-CN"/>
        </w:rPr>
        <w:t>大冶市还地桥镇政府机关办公文具用品采购项目</w:t>
      </w:r>
    </w:p>
    <w:p w14:paraId="52EDB30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kern w:val="2"/>
          <w:sz w:val="24"/>
          <w:szCs w:val="24"/>
          <w:lang w:val="en-US" w:eastAsia="zh-CN" w:bidi="ar-SA"/>
        </w:rPr>
        <w:t>3.采购内容：大冶市还地桥镇政府机关办公文具用品采购项目（详见谈判文件第三部分  采购项目技术规格及要求</w:t>
      </w:r>
      <w:r>
        <w:rPr>
          <w:rFonts w:hint="eastAsia" w:ascii="宋体" w:hAnsi="宋体" w:eastAsia="宋体" w:cs="宋体"/>
          <w:sz w:val="24"/>
          <w:szCs w:val="24"/>
        </w:rPr>
        <w:t>）</w:t>
      </w:r>
    </w:p>
    <w:p w14:paraId="2A2200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kern w:val="2"/>
          <w:sz w:val="24"/>
          <w:szCs w:val="24"/>
          <w:lang w:val="en-US" w:eastAsia="zh-CN" w:bidi="ar-SA"/>
        </w:rPr>
        <w:t>采购最高限价</w:t>
      </w:r>
      <w:r>
        <w:rPr>
          <w:rFonts w:hint="eastAsia" w:ascii="宋体" w:hAnsi="宋体" w:eastAsia="宋体" w:cs="宋体"/>
          <w:sz w:val="24"/>
          <w:szCs w:val="24"/>
          <w:lang w:val="en-US" w:eastAsia="zh-CN"/>
        </w:rPr>
        <w:t>：243000.00元，超出此限价为无效报价。</w:t>
      </w:r>
    </w:p>
    <w:p w14:paraId="061D1A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5.</w:t>
      </w:r>
      <w:r>
        <w:rPr>
          <w:rFonts w:hint="eastAsia" w:ascii="宋体" w:hAnsi="宋体" w:eastAsia="宋体" w:cs="宋体"/>
          <w:sz w:val="24"/>
          <w:szCs w:val="24"/>
          <w:lang w:val="en-US" w:eastAsia="zh-CN"/>
        </w:rPr>
        <w:t>资金来源：财政资金</w:t>
      </w:r>
    </w:p>
    <w:p w14:paraId="3537EBB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b w:val="0"/>
          <w:kern w:val="2"/>
          <w:sz w:val="24"/>
          <w:szCs w:val="24"/>
          <w:lang w:val="en-US" w:eastAsia="zh-CN" w:bidi="ar-SA"/>
        </w:rPr>
        <w:t>合同履行期限</w:t>
      </w:r>
      <w:r>
        <w:rPr>
          <w:rFonts w:hint="eastAsia" w:ascii="宋体" w:hAnsi="宋体" w:eastAsia="宋体" w:cs="宋体"/>
          <w:sz w:val="24"/>
          <w:szCs w:val="24"/>
          <w:lang w:val="en-US" w:eastAsia="zh-CN"/>
        </w:rPr>
        <w:t>：2026年度（合同履行期限内总结算费用达到采购预算，合同自动终止）</w:t>
      </w:r>
    </w:p>
    <w:p w14:paraId="61690CC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7.</w:t>
      </w:r>
      <w:r>
        <w:rPr>
          <w:rFonts w:hint="eastAsia" w:ascii="宋体" w:hAnsi="宋体" w:eastAsia="宋体" w:cs="宋体"/>
          <w:b w:val="0"/>
          <w:kern w:val="2"/>
          <w:sz w:val="24"/>
          <w:szCs w:val="24"/>
          <w:lang w:val="en-US" w:eastAsia="zh-CN" w:bidi="ar-SA"/>
        </w:rPr>
        <w:t>质保期</w:t>
      </w:r>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1年</w:t>
      </w:r>
    </w:p>
    <w:p w14:paraId="3A39521D">
      <w:pPr>
        <w:keepNext w:val="0"/>
        <w:keepLines w:val="0"/>
        <w:pageBreakBefore w:val="0"/>
        <w:widowControl w:val="0"/>
        <w:kinsoku/>
        <w:wordWrap/>
        <w:overflowPunct/>
        <w:topLinePunct w:val="0"/>
        <w:autoSpaceDE/>
        <w:autoSpaceDN/>
        <w:bidi w:val="0"/>
        <w:adjustRightInd/>
        <w:snapToGrid/>
        <w:spacing w:line="460" w:lineRule="exact"/>
        <w:ind w:firstLine="472" w:firstLineChars="200"/>
        <w:jc w:val="left"/>
        <w:textAlignment w:val="auto"/>
        <w:rPr>
          <w:rFonts w:hint="eastAsia" w:ascii="宋体" w:hAnsi="宋体" w:eastAsia="宋体" w:cs="宋体"/>
          <w:sz w:val="24"/>
          <w:szCs w:val="24"/>
          <w:u w:val="none" w:color="auto"/>
        </w:rPr>
      </w:pPr>
      <w:r>
        <w:rPr>
          <w:rFonts w:hint="eastAsia" w:ascii="宋体" w:hAnsi="宋体" w:eastAsia="宋体" w:cs="宋体"/>
          <w:spacing w:val="-2"/>
          <w:sz w:val="24"/>
          <w:szCs w:val="24"/>
          <w:lang w:val="en-US" w:eastAsia="zh-CN"/>
        </w:rPr>
        <w:t>8</w:t>
      </w:r>
      <w:r>
        <w:rPr>
          <w:rFonts w:hint="eastAsia" w:ascii="宋体" w:hAnsi="宋体" w:eastAsia="宋体" w:cs="宋体"/>
          <w:spacing w:val="-27"/>
          <w:sz w:val="24"/>
          <w:szCs w:val="24"/>
          <w:lang w:val="en-US" w:eastAsia="zh-CN"/>
        </w:rPr>
        <w:t>.</w:t>
      </w:r>
      <w:r>
        <w:rPr>
          <w:rFonts w:hint="eastAsia" w:ascii="宋体" w:hAnsi="宋体" w:eastAsia="宋体" w:cs="宋体"/>
          <w:spacing w:val="-2"/>
          <w:sz w:val="24"/>
          <w:szCs w:val="24"/>
        </w:rPr>
        <w:t>本项目（是/否）接受联合体投标：</w:t>
      </w:r>
      <w:r>
        <w:rPr>
          <w:rFonts w:hint="eastAsia" w:ascii="宋体" w:hAnsi="宋体" w:eastAsia="宋体" w:cs="宋体"/>
          <w:spacing w:val="-2"/>
          <w:sz w:val="24"/>
          <w:szCs w:val="24"/>
          <w:u w:val="none" w:color="auto"/>
        </w:rPr>
        <w:t>否</w:t>
      </w:r>
    </w:p>
    <w:p w14:paraId="56BC1F0C">
      <w:pPr>
        <w:keepNext w:val="0"/>
        <w:keepLines w:val="0"/>
        <w:pageBreakBefore w:val="0"/>
        <w:widowControl w:val="0"/>
        <w:kinsoku/>
        <w:wordWrap/>
        <w:overflowPunct/>
        <w:topLinePunct w:val="0"/>
        <w:autoSpaceDE/>
        <w:autoSpaceDN/>
        <w:bidi w:val="0"/>
        <w:adjustRightInd/>
        <w:snapToGrid/>
        <w:spacing w:line="460" w:lineRule="exact"/>
        <w:ind w:firstLine="468" w:firstLineChars="200"/>
        <w:jc w:val="left"/>
        <w:textAlignment w:val="auto"/>
        <w:rPr>
          <w:rFonts w:hint="eastAsia" w:ascii="宋体" w:hAnsi="宋体" w:eastAsia="宋体" w:cs="宋体"/>
          <w:sz w:val="24"/>
          <w:szCs w:val="24"/>
          <w:u w:val="none" w:color="auto"/>
        </w:rPr>
      </w:pPr>
      <w:r>
        <w:rPr>
          <w:rFonts w:hint="eastAsia" w:ascii="宋体" w:hAnsi="宋体" w:eastAsia="宋体" w:cs="宋体"/>
          <w:spacing w:val="-3"/>
          <w:sz w:val="24"/>
          <w:szCs w:val="24"/>
          <w:u w:val="none" w:color="auto"/>
          <w:lang w:val="en-US" w:eastAsia="zh-CN"/>
        </w:rPr>
        <w:t>9</w:t>
      </w:r>
      <w:r>
        <w:rPr>
          <w:rFonts w:hint="eastAsia" w:ascii="宋体" w:hAnsi="宋体" w:eastAsia="宋体" w:cs="宋体"/>
          <w:spacing w:val="-27"/>
          <w:sz w:val="24"/>
          <w:szCs w:val="24"/>
          <w:u w:val="none" w:color="auto"/>
          <w:lang w:val="en-US" w:eastAsia="zh-CN"/>
        </w:rPr>
        <w:t>.</w:t>
      </w:r>
      <w:r>
        <w:rPr>
          <w:rFonts w:hint="eastAsia" w:ascii="宋体" w:hAnsi="宋体" w:eastAsia="宋体" w:cs="宋体"/>
          <w:spacing w:val="-3"/>
          <w:sz w:val="24"/>
          <w:szCs w:val="24"/>
          <w:u w:val="none" w:color="auto"/>
        </w:rPr>
        <w:t>是否可采购进口产品：否</w:t>
      </w:r>
    </w:p>
    <w:p w14:paraId="3E8F097C">
      <w:pPr>
        <w:keepNext w:val="0"/>
        <w:keepLines w:val="0"/>
        <w:pageBreakBefore w:val="0"/>
        <w:widowControl w:val="0"/>
        <w:kinsoku/>
        <w:wordWrap/>
        <w:overflowPunct/>
        <w:topLinePunct w:val="0"/>
        <w:autoSpaceDE/>
        <w:autoSpaceDN/>
        <w:bidi w:val="0"/>
        <w:adjustRightInd/>
        <w:snapToGrid/>
        <w:spacing w:line="460" w:lineRule="exact"/>
        <w:ind w:firstLine="464" w:firstLineChars="200"/>
        <w:jc w:val="left"/>
        <w:textAlignment w:val="auto"/>
        <w:rPr>
          <w:rFonts w:hint="eastAsia" w:ascii="宋体" w:hAnsi="宋体" w:eastAsia="宋体" w:cs="宋体"/>
          <w:sz w:val="24"/>
          <w:szCs w:val="24"/>
          <w:u w:val="none" w:color="auto"/>
        </w:rPr>
      </w:pPr>
      <w:r>
        <w:rPr>
          <w:rFonts w:hint="eastAsia" w:ascii="宋体" w:hAnsi="宋体" w:eastAsia="宋体" w:cs="宋体"/>
          <w:spacing w:val="-4"/>
          <w:sz w:val="24"/>
          <w:szCs w:val="24"/>
          <w:u w:val="none" w:color="auto"/>
        </w:rPr>
        <w:t>1</w:t>
      </w:r>
      <w:r>
        <w:rPr>
          <w:rFonts w:hint="eastAsia" w:ascii="宋体" w:hAnsi="宋体" w:eastAsia="宋体" w:cs="宋体"/>
          <w:spacing w:val="-4"/>
          <w:sz w:val="24"/>
          <w:szCs w:val="24"/>
          <w:u w:val="none" w:color="auto"/>
          <w:lang w:val="en-US" w:eastAsia="zh-CN"/>
        </w:rPr>
        <w:t>0</w:t>
      </w:r>
      <w:r>
        <w:rPr>
          <w:rFonts w:hint="eastAsia" w:ascii="宋体" w:hAnsi="宋体" w:eastAsia="宋体" w:cs="宋体"/>
          <w:spacing w:val="-27"/>
          <w:sz w:val="24"/>
          <w:szCs w:val="24"/>
          <w:u w:val="none" w:color="auto"/>
          <w:lang w:val="en-US" w:eastAsia="zh-CN"/>
        </w:rPr>
        <w:t>.</w:t>
      </w:r>
      <w:r>
        <w:rPr>
          <w:rFonts w:hint="eastAsia" w:ascii="宋体" w:hAnsi="宋体" w:eastAsia="宋体" w:cs="宋体"/>
          <w:spacing w:val="-4"/>
          <w:sz w:val="24"/>
          <w:szCs w:val="24"/>
          <w:u w:val="none" w:color="auto"/>
        </w:rPr>
        <w:t>本项目（是/否）接受合同分包</w:t>
      </w:r>
      <w:r>
        <w:rPr>
          <w:rFonts w:hint="eastAsia" w:ascii="宋体" w:hAnsi="宋体" w:eastAsia="宋体" w:cs="宋体"/>
          <w:spacing w:val="-14"/>
          <w:sz w:val="24"/>
          <w:szCs w:val="24"/>
          <w:u w:val="none" w:color="auto"/>
        </w:rPr>
        <w:t xml:space="preserve"> </w:t>
      </w:r>
      <w:r>
        <w:rPr>
          <w:rFonts w:hint="eastAsia" w:ascii="宋体" w:hAnsi="宋体" w:eastAsia="宋体" w:cs="宋体"/>
          <w:spacing w:val="-4"/>
          <w:sz w:val="24"/>
          <w:szCs w:val="24"/>
          <w:u w:val="none" w:color="auto"/>
        </w:rPr>
        <w:t>：否</w:t>
      </w:r>
    </w:p>
    <w:p w14:paraId="1740AA99">
      <w:pPr>
        <w:keepNext w:val="0"/>
        <w:keepLines w:val="0"/>
        <w:pageBreakBefore w:val="0"/>
        <w:widowControl w:val="0"/>
        <w:kinsoku/>
        <w:wordWrap/>
        <w:overflowPunct/>
        <w:topLinePunct w:val="0"/>
        <w:autoSpaceDE/>
        <w:autoSpaceDN/>
        <w:bidi w:val="0"/>
        <w:adjustRightInd/>
        <w:snapToGrid/>
        <w:spacing w:line="460" w:lineRule="exact"/>
        <w:ind w:firstLine="472" w:firstLineChars="200"/>
        <w:jc w:val="left"/>
        <w:textAlignment w:val="auto"/>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1</w:t>
      </w:r>
      <w:r>
        <w:rPr>
          <w:rFonts w:hint="eastAsia" w:ascii="宋体" w:hAnsi="宋体" w:eastAsia="宋体" w:cs="宋体"/>
          <w:spacing w:val="-2"/>
          <w:sz w:val="24"/>
          <w:szCs w:val="24"/>
          <w:u w:val="none" w:color="auto"/>
          <w:lang w:val="en-US" w:eastAsia="zh-CN"/>
        </w:rPr>
        <w:t>1</w:t>
      </w:r>
      <w:r>
        <w:rPr>
          <w:rFonts w:hint="eastAsia" w:ascii="宋体" w:hAnsi="宋体" w:eastAsia="宋体" w:cs="宋体"/>
          <w:spacing w:val="-27"/>
          <w:sz w:val="24"/>
          <w:szCs w:val="24"/>
          <w:u w:val="none" w:color="auto"/>
          <w:lang w:val="en-US" w:eastAsia="zh-CN"/>
        </w:rPr>
        <w:t>.</w:t>
      </w:r>
      <w:r>
        <w:rPr>
          <w:rFonts w:hint="eastAsia" w:ascii="宋体" w:hAnsi="宋体" w:eastAsia="宋体" w:cs="宋体"/>
          <w:spacing w:val="-2"/>
          <w:sz w:val="24"/>
          <w:szCs w:val="24"/>
          <w:u w:val="none" w:color="auto"/>
        </w:rPr>
        <w:t>本项目（是/否）专门面向中小微企业：是</w:t>
      </w:r>
    </w:p>
    <w:p w14:paraId="177C8DFB">
      <w:pPr>
        <w:keepNext w:val="0"/>
        <w:keepLines w:val="0"/>
        <w:pageBreakBefore w:val="0"/>
        <w:widowControl w:val="0"/>
        <w:kinsoku/>
        <w:wordWrap/>
        <w:overflowPunct/>
        <w:topLinePunct w:val="0"/>
        <w:autoSpaceDE/>
        <w:autoSpaceDN/>
        <w:bidi w:val="0"/>
        <w:adjustRightInd/>
        <w:snapToGrid/>
        <w:spacing w:line="460" w:lineRule="exact"/>
        <w:ind w:firstLine="472" w:firstLineChars="200"/>
        <w:jc w:val="left"/>
        <w:textAlignment w:val="auto"/>
        <w:rPr>
          <w:rFonts w:hint="eastAsia" w:ascii="宋体" w:hAnsi="宋体" w:eastAsia="宋体" w:cs="宋体"/>
          <w:spacing w:val="-4"/>
          <w:sz w:val="24"/>
          <w:szCs w:val="24"/>
          <w:u w:val="none" w:color="auto"/>
        </w:rPr>
      </w:pPr>
      <w:r>
        <w:rPr>
          <w:rFonts w:hint="eastAsia" w:ascii="宋体" w:hAnsi="宋体" w:eastAsia="宋体" w:cs="宋体"/>
          <w:spacing w:val="-2"/>
          <w:sz w:val="24"/>
          <w:szCs w:val="24"/>
          <w:u w:val="none" w:color="auto"/>
        </w:rPr>
        <w:t>1</w:t>
      </w:r>
      <w:r>
        <w:rPr>
          <w:rFonts w:hint="eastAsia" w:ascii="宋体" w:hAnsi="宋体" w:eastAsia="宋体" w:cs="宋体"/>
          <w:spacing w:val="-2"/>
          <w:sz w:val="24"/>
          <w:szCs w:val="24"/>
          <w:u w:val="none" w:color="auto"/>
          <w:lang w:val="en-US" w:eastAsia="zh-CN"/>
        </w:rPr>
        <w:t>2.</w:t>
      </w:r>
      <w:r>
        <w:rPr>
          <w:rFonts w:hint="eastAsia" w:ascii="宋体" w:hAnsi="宋体" w:eastAsia="宋体" w:cs="宋体"/>
          <w:spacing w:val="-4"/>
          <w:sz w:val="24"/>
          <w:szCs w:val="24"/>
          <w:u w:val="none" w:color="auto"/>
        </w:rPr>
        <w:t>面向中小微企业的类型为：</w:t>
      </w:r>
      <w:r>
        <w:rPr>
          <w:rFonts w:hint="eastAsia" w:ascii="宋体" w:hAnsi="宋体" w:eastAsia="宋体" w:cs="宋体"/>
          <w:spacing w:val="-35"/>
          <w:sz w:val="24"/>
          <w:szCs w:val="24"/>
          <w:u w:val="none" w:color="auto"/>
        </w:rPr>
        <w:t xml:space="preserve"> </w:t>
      </w:r>
      <w:r>
        <w:rPr>
          <w:rFonts w:hint="eastAsia" w:ascii="宋体" w:hAnsi="宋体" w:eastAsia="宋体" w:cs="宋体"/>
          <w:spacing w:val="-4"/>
          <w:sz w:val="24"/>
          <w:szCs w:val="24"/>
          <w:u w:val="none" w:color="auto"/>
        </w:rPr>
        <w:t>中小微企业</w:t>
      </w:r>
    </w:p>
    <w:p w14:paraId="1E224FA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themeColor="text1"/>
          <w:sz w:val="24"/>
          <w:szCs w:val="24"/>
          <w:u w:val="none" w:color="auto"/>
        </w:rPr>
      </w:pPr>
      <w:bookmarkStart w:id="3" w:name="bookmark5"/>
      <w:bookmarkEnd w:id="3"/>
      <w:r>
        <w:rPr>
          <w:rFonts w:hint="eastAsia" w:ascii="宋体" w:hAnsi="宋体" w:eastAsia="宋体" w:cs="宋体"/>
          <w:color w:val="000000" w:themeColor="text1"/>
          <w:sz w:val="24"/>
          <w:szCs w:val="24"/>
          <w:u w:val="none" w:color="auto"/>
        </w:rPr>
        <w:t>1</w:t>
      </w:r>
      <w:r>
        <w:rPr>
          <w:rFonts w:hint="eastAsia" w:ascii="宋体" w:hAnsi="宋体" w:eastAsia="宋体" w:cs="宋体"/>
          <w:color w:val="000000" w:themeColor="text1"/>
          <w:sz w:val="24"/>
          <w:szCs w:val="24"/>
          <w:u w:val="none" w:color="auto"/>
          <w:lang w:val="en-US" w:eastAsia="zh-CN"/>
        </w:rPr>
        <w:t>3.</w:t>
      </w:r>
      <w:r>
        <w:rPr>
          <w:rFonts w:hint="eastAsia" w:ascii="宋体" w:hAnsi="宋体" w:eastAsia="宋体" w:cs="宋体"/>
          <w:color w:val="000000" w:themeColor="text1"/>
          <w:sz w:val="24"/>
          <w:szCs w:val="24"/>
          <w:u w:val="none" w:color="auto"/>
        </w:rPr>
        <w:t>符合条件的小微企业价格扣除优惠为：无</w:t>
      </w:r>
    </w:p>
    <w:p w14:paraId="69AC094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、供应商资格要求：</w:t>
      </w:r>
    </w:p>
    <w:p w14:paraId="3BB682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满足《中华人民共和国政府采购法》第二十二条规定，即：</w:t>
      </w:r>
    </w:p>
    <w:p w14:paraId="24E5B4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具有独立承担民事责任的能力；</w:t>
      </w:r>
    </w:p>
    <w:p w14:paraId="01D6E6C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14:paraId="3D6985A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p w14:paraId="4C8B4FD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（4）有依法缴纳税收和社会保障资金的良好记录；</w:t>
      </w:r>
    </w:p>
    <w:p w14:paraId="7C91DA9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（5）参加政府采购活动前三年内，在经营活动中没有重大违法记录；</w:t>
      </w:r>
    </w:p>
    <w:p w14:paraId="5C9A97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（6）法律、行政法规规定的其他条件。</w:t>
      </w:r>
    </w:p>
    <w:p w14:paraId="39F8718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46D78FD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3.单位负责人为同一人或者存在直接控股、管理关系的不同投标人，不得参加本项目同一合同项下的政府采购活动。</w:t>
      </w:r>
    </w:p>
    <w:p w14:paraId="493305D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.未被“信用中国”网站(www.creditchina.gov.cn)列入失信被执行人、重大税收违法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rPr>
        <w:t>、政府采购严重违法失信行为记录名单的查询截图；</w:t>
      </w:r>
    </w:p>
    <w:p w14:paraId="2D2D155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落实政府采购政策需满足的资格要求：</w:t>
      </w:r>
    </w:p>
    <w:p w14:paraId="7A2CE217">
      <w:pPr>
        <w:pStyle w:val="2"/>
        <w:keepNext w:val="0"/>
        <w:keepLines w:val="0"/>
        <w:pageBreakBefore w:val="0"/>
        <w:widowControl w:val="0"/>
        <w:kinsoku/>
        <w:wordWrap w:val="0"/>
        <w:overflowPunct/>
        <w:topLinePunct w:val="0"/>
        <w:autoSpaceDE w:val="0"/>
        <w:autoSpaceDN w:val="0"/>
        <w:bidi w:val="0"/>
        <w:adjustRightInd w:val="0"/>
        <w:snapToGrid w:val="0"/>
        <w:spacing w:line="400" w:lineRule="exact"/>
        <w:ind w:right="34" w:firstLine="480" w:firstLineChars="200"/>
        <w:jc w:val="both"/>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rPr>
        <w:t>本项目为专门面向中小微企业，供应商须符合《中小企业划型标准规定》（工信部联企业〔2011〕300号）中</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工业</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对中小微企业划型的标准并提供《中小企业声明函》。大型企业及未提供《中小企业声明函》的企业其响应文件将作无效响应处理。</w:t>
      </w:r>
    </w:p>
    <w:p w14:paraId="12B854A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lang w:val="en-US" w:eastAsia="zh-CN"/>
        </w:rPr>
      </w:pPr>
      <w:r>
        <w:rPr>
          <w:rFonts w:hint="eastAsia" w:ascii="宋体" w:hAnsi="宋体" w:eastAsia="宋体" w:cs="宋体"/>
          <w:kern w:val="2"/>
          <w:sz w:val="24"/>
          <w:szCs w:val="24"/>
          <w:lang w:val="en-US" w:eastAsia="zh-CN" w:bidi="ar-SA"/>
        </w:rPr>
        <w:t>6.供应商本单位及法定代表人声明近3年（发布公告之日起至投标截止日止前3年）在中国裁判文书网（</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"https://wenshu.court.gov.cn/"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http://wenshu.court.gov.cn/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）无行贿犯罪记录，提供网站查询结果截图，未提供的或有行贿犯罪记录的投标无效，取消其投标资格。</w:t>
      </w:r>
    </w:p>
    <w:p w14:paraId="116932E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7.本项目的</w:t>
      </w:r>
      <w:r>
        <w:rPr>
          <w:rFonts w:hint="eastAsia" w:ascii="宋体" w:hAnsi="宋体" w:eastAsia="宋体" w:cs="宋体"/>
          <w:sz w:val="24"/>
          <w:szCs w:val="24"/>
          <w:lang w:val="zh-CN" w:eastAsia="zh-CN"/>
        </w:rPr>
        <w:t>特定</w:t>
      </w:r>
      <w:r>
        <w:rPr>
          <w:rFonts w:hint="eastAsia" w:ascii="宋体" w:hAnsi="宋体" w:eastAsia="宋体" w:cs="宋体"/>
          <w:sz w:val="24"/>
          <w:szCs w:val="24"/>
          <w:lang w:val="en-US" w:eastAsia="zh-CN"/>
        </w:rPr>
        <w:t>资格要求：无</w:t>
      </w:r>
    </w:p>
    <w:p w14:paraId="121AB6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8.本项目不接受联合</w:t>
      </w:r>
      <w:r>
        <w:rPr>
          <w:rFonts w:hint="eastAsia" w:ascii="宋体" w:hAnsi="宋体" w:eastAsia="宋体" w:cs="宋体"/>
          <w:sz w:val="24"/>
          <w:szCs w:val="24"/>
        </w:rPr>
        <w:t>体参与谈判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不允许中标后分包</w:t>
      </w:r>
      <w:r>
        <w:rPr>
          <w:rFonts w:hint="eastAsia" w:ascii="宋体" w:hAnsi="宋体" w:eastAsia="宋体" w:cs="宋体"/>
          <w:sz w:val="24"/>
          <w:szCs w:val="24"/>
        </w:rPr>
        <w:t>。</w:t>
      </w:r>
    </w:p>
    <w:p w14:paraId="4FBA41B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注：本次</w:t>
      </w:r>
      <w:r>
        <w:rPr>
          <w:rFonts w:hint="eastAsia" w:ascii="宋体" w:hAnsi="宋体" w:eastAsia="宋体" w:cs="宋体"/>
          <w:sz w:val="24"/>
          <w:szCs w:val="24"/>
          <w:lang w:val="zh-CN" w:eastAsia="zh-CN"/>
        </w:rPr>
        <w:t>谈判</w:t>
      </w:r>
      <w:r>
        <w:rPr>
          <w:rFonts w:hint="eastAsia" w:ascii="宋体" w:hAnsi="宋体" w:eastAsia="宋体" w:cs="宋体"/>
          <w:sz w:val="24"/>
          <w:szCs w:val="24"/>
          <w:lang w:val="en-US" w:eastAsia="zh-CN"/>
        </w:rPr>
        <w:t>采用资格后审（合格）制。未按要求提供资格后审证明文件或资格审查不合格的作无效报价处理（资格审查的具体要求见谈判文件《第六部分资格后审证明文件》）。</w:t>
      </w:r>
    </w:p>
    <w:p w14:paraId="7F94FC8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val="0"/>
          <w:bCs w:val="0"/>
          <w:kern w:val="2"/>
          <w:sz w:val="24"/>
          <w:szCs w:val="24"/>
          <w:lang w:val="en-US" w:eastAsia="zh-CN" w:bidi="ar-SA"/>
        </w:rPr>
        <w:t>三、</w:t>
      </w:r>
      <w:r>
        <w:rPr>
          <w:rFonts w:hint="eastAsia" w:ascii="宋体" w:hAnsi="宋体" w:eastAsia="宋体" w:cs="宋体"/>
          <w:sz w:val="24"/>
          <w:szCs w:val="24"/>
          <w:lang w:val="en-US" w:eastAsia="zh-CN"/>
        </w:rPr>
        <w:t>谈判文件的领取</w:t>
      </w:r>
    </w:p>
    <w:p w14:paraId="1601FA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1.时间：2026年01月21日起至2026年01月23日</w:t>
      </w:r>
      <w:r>
        <w:rPr>
          <w:rFonts w:hint="eastAsia" w:ascii="宋体" w:hAnsi="宋体" w:eastAsia="宋体" w:cs="宋体"/>
          <w:b w:val="0"/>
          <w:bCs w:val="0"/>
          <w:kern w:val="0"/>
          <w:sz w:val="24"/>
          <w:szCs w:val="24"/>
          <w:u w:val="none"/>
          <w:lang w:eastAsia="zh-CN"/>
        </w:rPr>
        <w:t>（</w:t>
      </w:r>
      <w:r>
        <w:rPr>
          <w:rFonts w:hint="eastAsia" w:ascii="宋体" w:hAnsi="宋体" w:eastAsia="宋体" w:cs="宋体"/>
          <w:b w:val="0"/>
          <w:bCs w:val="0"/>
          <w:kern w:val="0"/>
          <w:sz w:val="24"/>
          <w:szCs w:val="24"/>
          <w:u w:val="none"/>
          <w:lang w:val="en-US" w:eastAsia="zh-CN"/>
        </w:rPr>
        <w:t>北京时间，下同</w:t>
      </w:r>
      <w:r>
        <w:rPr>
          <w:rFonts w:hint="eastAsia" w:ascii="宋体" w:hAnsi="宋体" w:eastAsia="宋体" w:cs="宋体"/>
          <w:b w:val="0"/>
          <w:bCs w:val="0"/>
          <w:kern w:val="0"/>
          <w:sz w:val="24"/>
          <w:szCs w:val="24"/>
          <w:u w:val="none"/>
          <w:lang w:eastAsia="zh-CN"/>
        </w:rPr>
        <w:t>）</w:t>
      </w:r>
      <w:r>
        <w:rPr>
          <w:rFonts w:hint="eastAsia" w:ascii="宋体" w:hAnsi="宋体" w:eastAsia="宋体" w:cs="宋体"/>
          <w:sz w:val="24"/>
          <w:szCs w:val="24"/>
          <w:lang w:val="en-US" w:eastAsia="zh-CN"/>
        </w:rPr>
        <w:t>。</w:t>
      </w:r>
    </w:p>
    <w:p w14:paraId="237C7BD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2.地点：</w:t>
      </w:r>
      <w:r>
        <w:rPr>
          <w:rFonts w:hint="eastAsia" w:ascii="宋体" w:hAnsi="宋体" w:eastAsia="宋体" w:cs="宋体"/>
          <w:color w:val="auto"/>
          <w:sz w:val="24"/>
          <w:szCs w:val="24"/>
          <w:lang w:val="en-US" w:eastAsia="zh-CN"/>
        </w:rPr>
        <w:t>黄石临空经济区官网（http://lkjjq.huangshi.gov.cn/）</w:t>
      </w:r>
    </w:p>
    <w:p w14:paraId="4A2BAD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3.采购文件资料费人民币300元，供应商递交响应文件时支付。</w:t>
      </w:r>
    </w:p>
    <w:p w14:paraId="56411B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lang w:val="en-US" w:eastAsia="zh-CN"/>
        </w:rPr>
      </w:pPr>
      <w:r>
        <w:rPr>
          <w:rFonts w:hint="eastAsia" w:ascii="宋体" w:hAnsi="宋体" w:eastAsia="宋体" w:cs="宋体"/>
          <w:color w:val="auto"/>
          <w:sz w:val="24"/>
          <w:szCs w:val="24"/>
          <w:lang w:val="en-US" w:eastAsia="zh-CN"/>
        </w:rPr>
        <w:t>四</w:t>
      </w:r>
      <w:r>
        <w:rPr>
          <w:rFonts w:hint="eastAsia" w:ascii="宋体" w:hAnsi="宋体" w:eastAsia="宋体" w:cs="宋体"/>
          <w:kern w:val="2"/>
          <w:sz w:val="24"/>
          <w:szCs w:val="24"/>
          <w:lang w:val="en-US" w:eastAsia="zh-CN" w:bidi="ar-SA"/>
        </w:rPr>
        <w:t>、响应文件提交</w:t>
      </w:r>
    </w:p>
    <w:p w14:paraId="2B631A4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截止时间：</w:t>
      </w:r>
      <w:r>
        <w:rPr>
          <w:rFonts w:hint="eastAsia" w:ascii="宋体" w:hAnsi="宋体" w:eastAsia="宋体" w:cs="宋体"/>
          <w:sz w:val="24"/>
          <w:szCs w:val="24"/>
          <w:lang w:val="en-US" w:eastAsia="zh-CN"/>
        </w:rPr>
        <w:t>2026年01月27日</w:t>
      </w:r>
      <w:r>
        <w:rPr>
          <w:rFonts w:hint="eastAsia" w:ascii="宋体" w:hAnsi="宋体" w:eastAsia="宋体" w:cs="宋体"/>
          <w:color w:val="auto"/>
          <w:sz w:val="24"/>
          <w:szCs w:val="24"/>
          <w:lang w:val="en-US" w:eastAsia="zh-CN"/>
        </w:rPr>
        <w:t>10时30分</w:t>
      </w:r>
      <w:r>
        <w:rPr>
          <w:rFonts w:hint="eastAsia" w:ascii="宋体" w:hAnsi="宋体" w:eastAsia="宋体" w:cs="宋体"/>
          <w:sz w:val="24"/>
          <w:szCs w:val="24"/>
        </w:rPr>
        <w:t>。</w:t>
      </w:r>
    </w:p>
    <w:p w14:paraId="70F68C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地点：</w:t>
      </w:r>
      <w:r>
        <w:rPr>
          <w:rFonts w:hint="eastAsia" w:ascii="宋体" w:hAnsi="宋体" w:eastAsia="宋体" w:cs="宋体"/>
          <w:color w:val="auto"/>
          <w:sz w:val="24"/>
          <w:szCs w:val="24"/>
          <w:lang w:val="zh-CN" w:eastAsia="zh-CN"/>
        </w:rPr>
        <w:t>大冶市还地桥镇财政所四楼会议室</w:t>
      </w:r>
    </w:p>
    <w:p w14:paraId="4F6447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五、开启</w:t>
      </w:r>
    </w:p>
    <w:p w14:paraId="2706953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时间：</w:t>
      </w:r>
      <w:r>
        <w:rPr>
          <w:rFonts w:hint="eastAsia" w:ascii="宋体" w:hAnsi="宋体" w:eastAsia="宋体" w:cs="宋体"/>
          <w:sz w:val="24"/>
          <w:szCs w:val="24"/>
          <w:lang w:val="en-US" w:eastAsia="zh-CN"/>
        </w:rPr>
        <w:t>2026年01月27日</w:t>
      </w:r>
      <w:r>
        <w:rPr>
          <w:rFonts w:hint="eastAsia" w:ascii="宋体" w:hAnsi="宋体" w:eastAsia="宋体" w:cs="宋体"/>
          <w:color w:val="auto"/>
          <w:sz w:val="24"/>
          <w:szCs w:val="24"/>
          <w:lang w:val="en-US" w:eastAsia="zh-CN"/>
        </w:rPr>
        <w:t>10时30分</w:t>
      </w:r>
      <w:r>
        <w:rPr>
          <w:rFonts w:hint="eastAsia" w:ascii="宋体" w:hAnsi="宋体" w:eastAsia="宋体" w:cs="宋体"/>
          <w:sz w:val="24"/>
          <w:szCs w:val="24"/>
        </w:rPr>
        <w:t>。</w:t>
      </w:r>
    </w:p>
    <w:p w14:paraId="2ED338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rPr>
        <w:t>地点:</w:t>
      </w:r>
      <w:r>
        <w:rPr>
          <w:rFonts w:hint="eastAsia" w:ascii="宋体" w:hAnsi="宋体" w:eastAsia="宋体" w:cs="宋体"/>
          <w:color w:val="auto"/>
          <w:sz w:val="24"/>
          <w:szCs w:val="24"/>
          <w:lang w:val="zh-CN" w:eastAsia="zh-CN"/>
        </w:rPr>
        <w:t>大冶市还地桥镇财政所四楼会议室</w:t>
      </w:r>
    </w:p>
    <w:p w14:paraId="43BD162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逾期送达的或者未送达指定地点的谈判文件，采购人不予受理。</w:t>
      </w:r>
    </w:p>
    <w:p w14:paraId="658734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公告期限</w:t>
      </w:r>
    </w:p>
    <w:p w14:paraId="02EFD53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eastAsia="宋体"/>
          <w:lang w:val="en-US" w:eastAsia="zh-CN"/>
        </w:rPr>
      </w:pPr>
      <w:r>
        <w:rPr>
          <w:rFonts w:hint="eastAsia" w:ascii="宋体" w:hAnsi="宋体" w:eastAsia="宋体" w:cs="宋体"/>
          <w:sz w:val="24"/>
          <w:szCs w:val="24"/>
        </w:rPr>
        <w:t>自本公告发布之日起3个工作日。</w:t>
      </w:r>
    </w:p>
    <w:p w14:paraId="13C53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、发布公告的媒介</w:t>
      </w:r>
    </w:p>
    <w:p w14:paraId="33A9DB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本次竞争性谈判公告在</w:t>
      </w:r>
      <w:r>
        <w:rPr>
          <w:rFonts w:hint="eastAsia" w:ascii="宋体" w:hAnsi="宋体" w:eastAsia="宋体" w:cs="宋体"/>
          <w:color w:val="auto"/>
          <w:sz w:val="24"/>
          <w:szCs w:val="24"/>
          <w:lang w:val="en-US" w:eastAsia="zh-CN"/>
        </w:rPr>
        <w:t>黄石临空经济区官网（http://lkjjq.huangshi.gov.cn/）</w:t>
      </w:r>
      <w:r>
        <w:rPr>
          <w:rFonts w:hint="eastAsia" w:ascii="宋体" w:hAnsi="宋体" w:eastAsia="宋体" w:cs="宋体"/>
          <w:sz w:val="24"/>
          <w:szCs w:val="24"/>
        </w:rPr>
        <w:t>发布。</w:t>
      </w:r>
    </w:p>
    <w:p w14:paraId="33DA26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、联系方式</w:t>
      </w:r>
    </w:p>
    <w:p w14:paraId="603E98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采购人：</w:t>
      </w:r>
      <w:r>
        <w:rPr>
          <w:rFonts w:hint="eastAsia" w:ascii="宋体" w:hAnsi="宋体" w:eastAsia="宋体" w:cs="宋体"/>
          <w:sz w:val="24"/>
          <w:szCs w:val="24"/>
          <w:lang w:val="en-US" w:eastAsia="zh-CN"/>
        </w:rPr>
        <w:t>大冶市还地桥镇党政综合办公室</w:t>
      </w:r>
    </w:p>
    <w:p w14:paraId="7313C08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大冶市还地桥镇还桥大道19号</w:t>
      </w:r>
    </w:p>
    <w:p w14:paraId="13556F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w:t>
      </w:r>
      <w:r>
        <w:rPr>
          <w:rFonts w:hint="eastAsia" w:ascii="宋体" w:hAnsi="宋体" w:eastAsia="宋体" w:cs="宋体"/>
          <w:kern w:val="2"/>
          <w:sz w:val="24"/>
          <w:szCs w:val="24"/>
          <w:lang w:val="en-US" w:eastAsia="zh-CN" w:bidi="ar-SA"/>
        </w:rPr>
        <w:t xml:space="preserve">系人：陈先生         联系电话: </w:t>
      </w:r>
      <w:r>
        <w:rPr>
          <w:rFonts w:hint="eastAsia" w:ascii="宋体" w:hAnsi="宋体" w:eastAsia="宋体" w:cs="宋体"/>
          <w:sz w:val="24"/>
          <w:szCs w:val="24"/>
          <w:lang w:val="en-US" w:eastAsia="zh-CN"/>
        </w:rPr>
        <w:t xml:space="preserve">13597650910      </w:t>
      </w:r>
    </w:p>
    <w:p w14:paraId="3DC27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采购代理机构：兰天项目管理有限公司</w:t>
      </w:r>
    </w:p>
    <w:p w14:paraId="3678077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陕西省西安市碑林区红缨路9号豪盛大厦A座10604室</w:t>
      </w:r>
    </w:p>
    <w:p w14:paraId="5AC1D43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向工</w:t>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cs="宋体"/>
          <w:color w:val="auto"/>
          <w:sz w:val="24"/>
          <w:szCs w:val="24"/>
          <w:lang w:val="en-US" w:eastAsia="zh-CN"/>
        </w:rPr>
        <w:t>15972542721</w:t>
      </w:r>
    </w:p>
    <w:p w14:paraId="4FF912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sz w:val="24"/>
          <w:szCs w:val="24"/>
        </w:rPr>
      </w:pPr>
    </w:p>
    <w:p w14:paraId="510FC227">
      <w:pPr>
        <w:pStyle w:val="6"/>
        <w:rPr>
          <w:rFonts w:hint="eastAsia" w:ascii="宋体" w:hAnsi="宋体" w:eastAsia="宋体" w:cs="宋体"/>
          <w:sz w:val="24"/>
          <w:szCs w:val="24"/>
        </w:rPr>
      </w:pPr>
    </w:p>
    <w:p w14:paraId="224CB6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4"/>
          <w:szCs w:val="24"/>
        </w:rPr>
      </w:pPr>
    </w:p>
    <w:p w14:paraId="6D40830E">
      <w:pPr>
        <w:rPr>
          <w:rFonts w:hint="eastAsia" w:ascii="宋体" w:hAnsi="宋体" w:eastAsia="宋体" w:cs="宋体"/>
          <w:b/>
          <w:sz w:val="24"/>
          <w:szCs w:val="24"/>
        </w:rPr>
      </w:pPr>
      <w:bookmarkStart w:id="4" w:name="_Toc10558"/>
      <w:r>
        <w:rPr>
          <w:rFonts w:hint="eastAsia" w:ascii="宋体" w:hAnsi="宋体" w:eastAsia="宋体" w:cs="宋体"/>
          <w:b/>
          <w:sz w:val="24"/>
          <w:szCs w:val="24"/>
        </w:rPr>
        <w:br w:type="page"/>
      </w:r>
      <w:bookmarkStart w:id="19" w:name="_GoBack"/>
      <w:bookmarkEnd w:id="19"/>
    </w:p>
    <w:p w14:paraId="5019E382">
      <w:pPr>
        <w:pStyle w:val="3"/>
        <w:bidi w:val="0"/>
        <w:jc w:val="center"/>
        <w:rPr>
          <w:rFonts w:hint="eastAsia" w:ascii="宋体" w:hAnsi="宋体" w:eastAsia="宋体" w:cs="宋体"/>
          <w:b/>
          <w:sz w:val="24"/>
          <w:szCs w:val="24"/>
        </w:rPr>
      </w:pPr>
      <w:bookmarkStart w:id="5" w:name="_Toc16969"/>
      <w:bookmarkStart w:id="6" w:name="_Toc9479"/>
      <w:r>
        <w:rPr>
          <w:rFonts w:hint="eastAsia" w:ascii="宋体" w:hAnsi="宋体" w:eastAsia="宋体" w:cs="宋体"/>
          <w:b/>
          <w:sz w:val="24"/>
          <w:szCs w:val="24"/>
        </w:rPr>
        <w:t>第二部分  谈判须知</w:t>
      </w:r>
      <w:bookmarkEnd w:id="4"/>
      <w:bookmarkEnd w:id="5"/>
      <w:bookmarkEnd w:id="6"/>
    </w:p>
    <w:p w14:paraId="7C98DD5A">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一、总　则</w:t>
      </w:r>
    </w:p>
    <w:p w14:paraId="3D7DAB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适用范围</w:t>
      </w:r>
    </w:p>
    <w:p w14:paraId="4EDB7F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 本</w:t>
      </w:r>
      <w:r>
        <w:rPr>
          <w:rFonts w:hint="eastAsia" w:ascii="宋体" w:hAnsi="宋体" w:eastAsia="宋体" w:cs="宋体"/>
          <w:b w:val="0"/>
          <w:bCs w:val="0"/>
          <w:sz w:val="24"/>
          <w:szCs w:val="24"/>
        </w:rPr>
        <w:t>文件</w:t>
      </w:r>
      <w:r>
        <w:rPr>
          <w:rFonts w:hint="eastAsia" w:ascii="宋体" w:hAnsi="宋体" w:eastAsia="宋体" w:cs="宋体"/>
          <w:sz w:val="24"/>
          <w:szCs w:val="24"/>
        </w:rPr>
        <w:t>仅适用于本文件中所叙述的货物类政府采购项目。</w:t>
      </w:r>
    </w:p>
    <w:p w14:paraId="01C31D8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 定义</w:t>
      </w:r>
    </w:p>
    <w:p w14:paraId="5F29A73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2.1“</w:t>
      </w:r>
      <w:r>
        <w:rPr>
          <w:rFonts w:hint="eastAsia" w:ascii="宋体" w:hAnsi="宋体" w:eastAsia="宋体" w:cs="宋体"/>
          <w:b w:val="0"/>
          <w:bCs w:val="0"/>
          <w:sz w:val="24"/>
          <w:szCs w:val="24"/>
        </w:rPr>
        <w:t>采购</w:t>
      </w:r>
      <w:r>
        <w:rPr>
          <w:rFonts w:hint="eastAsia" w:ascii="宋体" w:hAnsi="宋体" w:eastAsia="宋体" w:cs="宋体"/>
          <w:sz w:val="24"/>
          <w:szCs w:val="24"/>
        </w:rPr>
        <w:t>人”是指：</w:t>
      </w:r>
      <w:r>
        <w:rPr>
          <w:rFonts w:hint="eastAsia" w:ascii="宋体" w:hAnsi="宋体" w:eastAsia="宋体" w:cs="宋体"/>
          <w:sz w:val="24"/>
          <w:szCs w:val="24"/>
          <w:lang w:val="en-US" w:eastAsia="zh-CN"/>
        </w:rPr>
        <w:t>大冶市还地桥镇党政综合办公室</w:t>
      </w:r>
      <w:r>
        <w:rPr>
          <w:rFonts w:hint="eastAsia" w:ascii="宋体" w:hAnsi="宋体" w:eastAsia="宋体" w:cs="宋体"/>
          <w:kern w:val="0"/>
          <w:sz w:val="24"/>
          <w:szCs w:val="24"/>
        </w:rPr>
        <w:t>。</w:t>
      </w:r>
    </w:p>
    <w:p w14:paraId="72DA85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2.2“政府采购代理机构”是指：</w:t>
      </w:r>
      <w:r>
        <w:rPr>
          <w:rFonts w:hint="eastAsia" w:ascii="宋体" w:hAnsi="宋体" w:eastAsia="宋体" w:cs="宋体"/>
          <w:kern w:val="0"/>
          <w:sz w:val="24"/>
          <w:szCs w:val="24"/>
          <w:lang w:eastAsia="zh-CN"/>
        </w:rPr>
        <w:t>兰天项目管理有限公司</w:t>
      </w:r>
      <w:r>
        <w:rPr>
          <w:rFonts w:hint="eastAsia" w:ascii="宋体" w:hAnsi="宋体" w:eastAsia="宋体" w:cs="宋体"/>
          <w:kern w:val="0"/>
          <w:sz w:val="24"/>
          <w:szCs w:val="24"/>
        </w:rPr>
        <w:t>。</w:t>
      </w:r>
    </w:p>
    <w:p w14:paraId="1964BEA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2.3“谈判供应商”是指响应本文件要求，参加谈判的法人或者其他组织。如果该供应商在本次谈判中成交,即成为“成交供应商”。</w:t>
      </w:r>
    </w:p>
    <w:p w14:paraId="66B44A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2.4“竞争性谈判响应文件”是指：供应商根据本文件要求，编制包含报价、技术和服务等所有内容的文件。</w:t>
      </w:r>
    </w:p>
    <w:p w14:paraId="48C6BF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2.5 合格的供应商：满足“谈判邀请函”中供应商资格及要求条件的供应商。</w:t>
      </w:r>
    </w:p>
    <w:p w14:paraId="0199006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 “服务”系指谈判文件规定卖方须承担与实施本项目有关的伴随服务，包括但不限于运输、设计、装卸、安装、调试、技术支持、售后服务等义务和合同中规定卖方应承担的其它义务。</w:t>
      </w:r>
    </w:p>
    <w:p w14:paraId="7957801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2.7 “货物”系指供应商根据谈判文件规定，须向采购人提供的货物、材料、备品备件、工具、使用手册及有关技术资料等。</w:t>
      </w:r>
    </w:p>
    <w:p w14:paraId="47DE89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谈判费用</w:t>
      </w:r>
    </w:p>
    <w:p w14:paraId="356B9AF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  谈判供应商应自行承担所有与编写和提交竞争性谈判响应文件时有关的文件资料制作费用，不论谈判结果如何，采购人和</w:t>
      </w:r>
      <w:r>
        <w:rPr>
          <w:rFonts w:hint="eastAsia" w:ascii="宋体" w:hAnsi="宋体" w:eastAsia="宋体" w:cs="宋体"/>
          <w:kern w:val="2"/>
          <w:sz w:val="24"/>
          <w:szCs w:val="24"/>
          <w:lang w:val="en-US" w:eastAsia="zh-CN" w:bidi="ar-SA"/>
        </w:rPr>
        <w:t>兰天项目管理有限公司</w:t>
      </w:r>
      <w:r>
        <w:rPr>
          <w:rFonts w:hint="eastAsia" w:ascii="宋体" w:hAnsi="宋体" w:eastAsia="宋体" w:cs="宋体"/>
          <w:sz w:val="24"/>
          <w:szCs w:val="24"/>
        </w:rPr>
        <w:t>在任何情况下无义务和责任承担此类费用。</w:t>
      </w:r>
    </w:p>
    <w:p w14:paraId="7A707D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r>
        <w:rPr>
          <w:rFonts w:hint="eastAsia" w:ascii="宋体" w:hAnsi="宋体" w:eastAsia="宋体" w:cs="宋体"/>
          <w:sz w:val="24"/>
          <w:szCs w:val="24"/>
          <w:lang w:eastAsia="zh-CN"/>
        </w:rPr>
        <w:t>本项目</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代理费按《招标代理服务收费管理暂行办法》计价格【2002】1980号文及发改价格【2011】534 号文收费标准</w:t>
      </w:r>
      <w:r>
        <w:rPr>
          <w:rFonts w:hint="eastAsia" w:ascii="宋体" w:hAnsi="宋体" w:eastAsia="宋体" w:cs="宋体"/>
          <w:sz w:val="24"/>
          <w:szCs w:val="24"/>
          <w:lang w:val="en-US" w:eastAsia="zh-CN"/>
        </w:rPr>
        <w:t>收取，由成交供应商在</w:t>
      </w:r>
      <w:r>
        <w:rPr>
          <w:rFonts w:hint="eastAsia" w:ascii="宋体" w:hAnsi="宋体" w:eastAsia="宋体" w:cs="宋体"/>
          <w:sz w:val="24"/>
          <w:szCs w:val="24"/>
          <w:lang w:eastAsia="zh-CN"/>
        </w:rPr>
        <w:t>收到成交通知书时向代理机构</w:t>
      </w:r>
      <w:r>
        <w:rPr>
          <w:rFonts w:hint="eastAsia" w:ascii="宋体" w:hAnsi="宋体" w:eastAsia="宋体" w:cs="宋体"/>
          <w:sz w:val="24"/>
          <w:szCs w:val="24"/>
          <w:lang w:val="en-US" w:eastAsia="zh-CN"/>
        </w:rPr>
        <w:t>一次性</w:t>
      </w:r>
      <w:r>
        <w:rPr>
          <w:rFonts w:hint="eastAsia" w:ascii="宋体" w:hAnsi="宋体" w:eastAsia="宋体" w:cs="宋体"/>
          <w:sz w:val="24"/>
          <w:szCs w:val="24"/>
          <w:lang w:eastAsia="zh-CN"/>
        </w:rPr>
        <w:t>支付采购代理服务费</w:t>
      </w:r>
      <w:r>
        <w:rPr>
          <w:rFonts w:hint="eastAsia" w:ascii="宋体" w:hAnsi="宋体" w:eastAsia="宋体" w:cs="宋体"/>
          <w:sz w:val="24"/>
          <w:szCs w:val="24"/>
          <w:lang w:val="en-US" w:eastAsia="zh-CN"/>
        </w:rPr>
        <w:t>。</w:t>
      </w:r>
    </w:p>
    <w:p w14:paraId="13BA3EC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.3在谈判过程中谈判小组发现谈判供应商有下列情形之一的，认定其有围标串标行为，宣布本次谈判无效：</w:t>
      </w:r>
    </w:p>
    <w:p w14:paraId="390390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1）不同谈判供应商的竞争性谈判文件两处以上（含两处）错、漏一致或雷同的；</w:t>
      </w:r>
    </w:p>
    <w:p w14:paraId="4E7874B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2）不同谈判供应商的竞争性谈判各项报价存在异常一致或者呈规律性变化的；</w:t>
      </w:r>
    </w:p>
    <w:p w14:paraId="47048DA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3）不同谈判供应商的竞争性谈判文件由同一单位或者同一个人编制的；</w:t>
      </w:r>
    </w:p>
    <w:p w14:paraId="479C9FF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4）不同谈判供应商的竞争性谈判文件中资料相互混装或项目班子成员出现同一人的；</w:t>
      </w:r>
    </w:p>
    <w:p w14:paraId="2FD38C8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bCs/>
          <w:sz w:val="24"/>
          <w:szCs w:val="24"/>
        </w:rPr>
        <w:t>竞争性</w:t>
      </w:r>
      <w:r>
        <w:rPr>
          <w:rFonts w:hint="eastAsia" w:ascii="宋体" w:hAnsi="宋体" w:eastAsia="宋体" w:cs="宋体"/>
          <w:b/>
          <w:sz w:val="24"/>
          <w:szCs w:val="24"/>
        </w:rPr>
        <w:t>谈判响应文件的编制</w:t>
      </w:r>
    </w:p>
    <w:p w14:paraId="323E42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 竞争性谈判响应文件编制基本要求</w:t>
      </w:r>
    </w:p>
    <w:p w14:paraId="0FB5C75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5.1谈判供应商对竞争性谈判纸制响应文件的编制应按要求胶装，并逐页编码。不得采用活页夹等可随时拆开的方式装订。</w:t>
      </w:r>
    </w:p>
    <w:p w14:paraId="24FEA9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5.2谈判供应商提交的竞争性谈判响应文件以及谈判供应商与</w:t>
      </w:r>
      <w:r>
        <w:rPr>
          <w:rFonts w:hint="eastAsia" w:ascii="宋体" w:hAnsi="宋体" w:eastAsia="宋体" w:cs="宋体"/>
          <w:kern w:val="0"/>
          <w:sz w:val="24"/>
          <w:szCs w:val="24"/>
        </w:rPr>
        <w:t>采购人</w:t>
      </w:r>
      <w:r>
        <w:rPr>
          <w:rFonts w:hint="eastAsia" w:ascii="宋体" w:hAnsi="宋体" w:eastAsia="宋体" w:cs="宋体"/>
          <w:kern w:val="0"/>
          <w:sz w:val="24"/>
          <w:szCs w:val="24"/>
          <w:lang w:val="en-US" w:eastAsia="zh-CN"/>
        </w:rPr>
        <w:t>和采购代理机构</w:t>
      </w:r>
      <w:r>
        <w:rPr>
          <w:rFonts w:hint="eastAsia" w:ascii="宋体" w:hAnsi="宋体" w:eastAsia="宋体" w:cs="宋体"/>
          <w:kern w:val="0"/>
          <w:sz w:val="24"/>
          <w:szCs w:val="24"/>
        </w:rPr>
        <w:t>就有关谈判的所有来往函电均应使用中文。谈判供应商提交的支持文件和印刷的文献可以使用别的语言，但其相应内容必须附有中文翻译文本，在解释竞争性谈判响应文件时以翻译文本为主。</w:t>
      </w:r>
    </w:p>
    <w:p w14:paraId="042EE0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5.3谈判供应商应认真阅读、并充分理解本文件的全部内容（包括所有的补充、修改内容），承诺并履行本文件中各项条款规定及要求。</w:t>
      </w:r>
    </w:p>
    <w:p w14:paraId="37C527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5.4.1竞争性谈判响应文件必须按本文件的全部内容，包括所有的补充通知及附件进行编制。</w:t>
      </w:r>
    </w:p>
    <w:p w14:paraId="1EEE493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5.4.2 供应商在谈判响应文件中如有任何遗漏，影响到谈判响应文件中规定的范围、质量、性能或限制了采购人的权利和供应商的义务，由此产生的费用由供应商负责。</w:t>
      </w:r>
    </w:p>
    <w:p w14:paraId="6CE568E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5.5.1 供应商应完整地填写谈判文件提供的各种表格。</w:t>
      </w:r>
    </w:p>
    <w:p w14:paraId="1846435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5.5.2如因谈判供应商只填写和提供了本文件要求的部分内容和附件，而给评审造成困难，其可能导致的结果和责任由谈判供应商自行承担。</w:t>
      </w:r>
    </w:p>
    <w:p w14:paraId="18D542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5.6竞争性谈判响应文件的组成</w:t>
      </w:r>
    </w:p>
    <w:p w14:paraId="61908D7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5.6.1价格文件</w:t>
      </w:r>
    </w:p>
    <w:p w14:paraId="72F1B63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1）谈判报价表；（见附件二） </w:t>
      </w:r>
    </w:p>
    <w:p w14:paraId="5B22F002">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5.6.2 商务技术文件</w:t>
      </w:r>
    </w:p>
    <w:p w14:paraId="7C230A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 计量单位</w:t>
      </w:r>
    </w:p>
    <w:p w14:paraId="0DB722D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6.1除技术要求中另有规定外，本文件所要求使用的计量单位均应采用国家法定计量单位。</w:t>
      </w:r>
    </w:p>
    <w:p w14:paraId="14FFA3EF">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三、谈判报价要求</w:t>
      </w:r>
    </w:p>
    <w:p w14:paraId="0E75249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7.1对于本文件中未列明，而谈判供应商认为必需的费用也需列入总报价。在合同实施时，采购人将不予支付成交供应商没有列入的项目费用，并认为此项目的费用已包括在总报价中；</w:t>
      </w:r>
    </w:p>
    <w:p w14:paraId="02F1282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7.2供应商所提交的“工程量清单”中存在漏项或未填写的单价和合价，视为已包括在投标报价的其它单价和合价中，不得作为以后投标报价变更增加投资的因素；</w:t>
      </w:r>
    </w:p>
    <w:p w14:paraId="47351AF3">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四、竞争性谈判响应文件的份数、封装和递交</w:t>
      </w:r>
    </w:p>
    <w:p w14:paraId="363644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 谈判响应文件的份数和封装</w:t>
      </w:r>
    </w:p>
    <w:p w14:paraId="6F290B7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谈判供应商应将竞争性谈判响应文件中“价格文件”和“商务技术文件”一起胶装，即：“价格文件”在前，“商务技术文件”在后，目录清晰，正本一份，副本二份，然后封装在一个档案袋中（或用牛皮纸封装）。</w:t>
      </w:r>
    </w:p>
    <w:p w14:paraId="207BC1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8.2竞争性谈判响应文件的封面上应写明：</w:t>
      </w:r>
    </w:p>
    <w:p w14:paraId="4463C43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1）竞争性谈判项目编号</w:t>
      </w:r>
    </w:p>
    <w:p w14:paraId="02649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2）竞争性谈判项目名称</w:t>
      </w:r>
    </w:p>
    <w:p w14:paraId="346FE1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3）谈判供应商名称</w:t>
      </w:r>
    </w:p>
    <w:p w14:paraId="0AAC87F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 竞争性谈判响应文件的递交</w:t>
      </w:r>
    </w:p>
    <w:p w14:paraId="4B269FA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pacing w:val="-8"/>
          <w:sz w:val="24"/>
          <w:szCs w:val="24"/>
        </w:rPr>
      </w:pPr>
      <w:r>
        <w:rPr>
          <w:rFonts w:hint="eastAsia" w:ascii="宋体" w:hAnsi="宋体" w:eastAsia="宋体" w:cs="宋体"/>
          <w:sz w:val="24"/>
          <w:szCs w:val="24"/>
        </w:rPr>
        <w:t>9.1所有竞争性谈判竞争性响应文件应</w:t>
      </w:r>
      <w:r>
        <w:rPr>
          <w:rFonts w:hint="eastAsia" w:ascii="宋体" w:hAnsi="宋体" w:eastAsia="宋体" w:cs="宋体"/>
          <w:sz w:val="24"/>
          <w:szCs w:val="24"/>
          <w:lang w:val="en-US" w:eastAsia="zh-CN"/>
        </w:rPr>
        <w:t>按</w:t>
      </w:r>
      <w:r>
        <w:rPr>
          <w:rFonts w:hint="eastAsia" w:ascii="宋体" w:hAnsi="宋体" w:eastAsia="宋体" w:cs="宋体"/>
          <w:sz w:val="24"/>
          <w:szCs w:val="24"/>
        </w:rPr>
        <w:t>“第一部分 谈判邀请函”中规定的时间</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地址</w:t>
      </w:r>
      <w:r>
        <w:rPr>
          <w:rFonts w:hint="eastAsia" w:ascii="宋体" w:hAnsi="宋体" w:eastAsia="宋体" w:cs="宋体"/>
          <w:sz w:val="24"/>
          <w:szCs w:val="24"/>
        </w:rPr>
        <w:t>递交</w:t>
      </w:r>
      <w:r>
        <w:rPr>
          <w:rFonts w:hint="eastAsia" w:ascii="宋体" w:hAnsi="宋体" w:eastAsia="宋体" w:cs="宋体"/>
          <w:b w:val="0"/>
          <w:bCs w:val="0"/>
          <w:sz w:val="24"/>
          <w:szCs w:val="24"/>
        </w:rPr>
        <w:t>。</w:t>
      </w:r>
    </w:p>
    <w:p w14:paraId="56F2A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10.迟交的竞争性谈判响应文件</w:t>
      </w:r>
    </w:p>
    <w:p w14:paraId="230421C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按《政府采购法》的规定，</w:t>
      </w:r>
      <w:r>
        <w:rPr>
          <w:rFonts w:hint="eastAsia" w:ascii="宋体" w:hAnsi="宋体" w:eastAsia="宋体" w:cs="宋体"/>
          <w:kern w:val="2"/>
          <w:sz w:val="24"/>
          <w:szCs w:val="24"/>
          <w:lang w:val="en-US" w:eastAsia="zh-CN" w:bidi="ar-SA"/>
        </w:rPr>
        <w:t>兰天项目管理有限公司</w:t>
      </w:r>
      <w:r>
        <w:rPr>
          <w:rFonts w:hint="eastAsia" w:ascii="宋体" w:hAnsi="宋体" w:eastAsia="宋体" w:cs="宋体"/>
          <w:kern w:val="0"/>
          <w:sz w:val="24"/>
          <w:szCs w:val="24"/>
        </w:rPr>
        <w:t>将拒收或原封退回在其规定的递交竞争性谈判响应文件截止时间之后收到的任何竞争性谈判响应文件。</w:t>
      </w:r>
    </w:p>
    <w:p w14:paraId="186E920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五、谈判的步骤</w:t>
      </w:r>
    </w:p>
    <w:p w14:paraId="73CFA4C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11.1</w:t>
      </w:r>
      <w:r>
        <w:rPr>
          <w:rFonts w:hint="eastAsia" w:ascii="宋体" w:hAnsi="宋体" w:eastAsia="宋体" w:cs="宋体"/>
          <w:color w:val="000000"/>
          <w:sz w:val="24"/>
          <w:szCs w:val="24"/>
        </w:rPr>
        <w:t>如发现下列</w:t>
      </w:r>
      <w:r>
        <w:rPr>
          <w:rFonts w:hint="eastAsia" w:ascii="宋体" w:hAnsi="宋体" w:eastAsia="宋体" w:cs="宋体"/>
          <w:sz w:val="24"/>
          <w:szCs w:val="24"/>
        </w:rPr>
        <w:t>情形</w:t>
      </w:r>
      <w:r>
        <w:rPr>
          <w:rFonts w:hint="eastAsia" w:ascii="宋体" w:hAnsi="宋体" w:eastAsia="宋体" w:cs="宋体"/>
          <w:color w:val="000000"/>
          <w:sz w:val="24"/>
          <w:szCs w:val="24"/>
        </w:rPr>
        <w:t>之一的，其谈判响应文件将被视为无效：</w:t>
      </w:r>
    </w:p>
    <w:p w14:paraId="3F15010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1）谈判响应人的响应文件或资格证明文件未提供或不符合谈判文件要求的；</w:t>
      </w:r>
    </w:p>
    <w:p w14:paraId="043C3ED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2）超出经营</w:t>
      </w:r>
      <w:r>
        <w:rPr>
          <w:rFonts w:hint="eastAsia" w:ascii="宋体" w:hAnsi="宋体" w:eastAsia="宋体" w:cs="宋体"/>
          <w:sz w:val="24"/>
          <w:szCs w:val="24"/>
        </w:rPr>
        <w:t>范围</w:t>
      </w:r>
      <w:r>
        <w:rPr>
          <w:rFonts w:hint="eastAsia" w:ascii="宋体" w:hAnsi="宋体" w:eastAsia="宋体" w:cs="宋体"/>
          <w:color w:val="000000"/>
          <w:sz w:val="24"/>
          <w:szCs w:val="24"/>
        </w:rPr>
        <w:t>响应的；</w:t>
      </w:r>
    </w:p>
    <w:p w14:paraId="6CF0E3C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3）未按照谈判文件的要求制作谈判响应文件的；</w:t>
      </w:r>
    </w:p>
    <w:p w14:paraId="7D267DB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4）谈判响应</w:t>
      </w:r>
      <w:r>
        <w:rPr>
          <w:rFonts w:hint="eastAsia" w:ascii="宋体" w:hAnsi="宋体" w:eastAsia="宋体" w:cs="宋体"/>
          <w:sz w:val="24"/>
          <w:szCs w:val="24"/>
        </w:rPr>
        <w:t>文件</w:t>
      </w:r>
      <w:r>
        <w:rPr>
          <w:rFonts w:hint="eastAsia" w:ascii="宋体" w:hAnsi="宋体" w:eastAsia="宋体" w:cs="宋体"/>
          <w:color w:val="000000"/>
          <w:sz w:val="24"/>
          <w:szCs w:val="24"/>
        </w:rPr>
        <w:t>技术规格中的响应与事实不符或虚假响应的；</w:t>
      </w:r>
    </w:p>
    <w:p w14:paraId="5145A1A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5）报价超过拦标价，且采购人无法支付的；</w:t>
      </w:r>
    </w:p>
    <w:p w14:paraId="4C8B4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6）谈判小组认为最终报价低于成本价的；</w:t>
      </w:r>
    </w:p>
    <w:p w14:paraId="19FA80D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7）不满足谈判</w:t>
      </w:r>
      <w:r>
        <w:rPr>
          <w:rFonts w:hint="eastAsia" w:ascii="宋体" w:hAnsi="宋体" w:eastAsia="宋体" w:cs="宋体"/>
          <w:sz w:val="24"/>
          <w:szCs w:val="24"/>
        </w:rPr>
        <w:t>文件</w:t>
      </w:r>
      <w:r>
        <w:rPr>
          <w:rFonts w:hint="eastAsia" w:ascii="宋体" w:hAnsi="宋体" w:eastAsia="宋体" w:cs="宋体"/>
          <w:color w:val="000000"/>
          <w:sz w:val="24"/>
          <w:szCs w:val="24"/>
        </w:rPr>
        <w:t>中第三章</w:t>
      </w:r>
      <w:r>
        <w:rPr>
          <w:rFonts w:hint="eastAsia" w:ascii="宋体" w:hAnsi="宋体" w:eastAsia="宋体" w:cs="宋体"/>
          <w:sz w:val="24"/>
          <w:szCs w:val="24"/>
        </w:rPr>
        <w:t>采购项目技术规格及要</w:t>
      </w:r>
      <w:r>
        <w:rPr>
          <w:rFonts w:hint="eastAsia" w:ascii="宋体" w:hAnsi="宋体" w:eastAsia="宋体" w:cs="宋体"/>
          <w:color w:val="000000"/>
          <w:sz w:val="24"/>
          <w:szCs w:val="24"/>
        </w:rPr>
        <w:t>求中任何一项条款的；</w:t>
      </w:r>
    </w:p>
    <w:p w14:paraId="42DCC2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8）第二轮谈判报价不得高于第一轮报价；</w:t>
      </w:r>
    </w:p>
    <w:p w14:paraId="0CE858B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9）符合谈判</w:t>
      </w:r>
      <w:r>
        <w:rPr>
          <w:rFonts w:hint="eastAsia" w:ascii="宋体" w:hAnsi="宋体" w:eastAsia="宋体" w:cs="宋体"/>
          <w:sz w:val="24"/>
          <w:szCs w:val="24"/>
        </w:rPr>
        <w:t>文件</w:t>
      </w:r>
      <w:r>
        <w:rPr>
          <w:rFonts w:hint="eastAsia" w:ascii="宋体" w:hAnsi="宋体" w:eastAsia="宋体" w:cs="宋体"/>
          <w:color w:val="000000"/>
          <w:sz w:val="24"/>
          <w:szCs w:val="24"/>
        </w:rPr>
        <w:t>中其它规定被视为无效的条款的。</w:t>
      </w:r>
    </w:p>
    <w:p w14:paraId="0665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11.2第一轮谈判</w:t>
      </w:r>
    </w:p>
    <w:p w14:paraId="356444B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谈判小组按已确定的谈判顺序，与单一供应商分别就符合采购需求、质量和服务等进行谈判，并了解其报价组成情况。</w:t>
      </w:r>
    </w:p>
    <w:p w14:paraId="02717A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谈判中，谈判的任何一方不得透露与谈判有关的其他供应商的技术资料、价格和其他信息。</w:t>
      </w:r>
    </w:p>
    <w:p w14:paraId="0153F1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谈判小组对谈判过程和重要谈判内容进行记录，</w:t>
      </w:r>
      <w:r>
        <w:rPr>
          <w:rFonts w:hint="eastAsia" w:ascii="宋体" w:hAnsi="宋体" w:eastAsia="宋体" w:cs="宋体"/>
          <w:spacing w:val="-20"/>
          <w:sz w:val="24"/>
          <w:szCs w:val="24"/>
        </w:rPr>
        <w:t>谈判双方在记录上签字确认。</w:t>
      </w:r>
    </w:p>
    <w:p w14:paraId="14B7C7D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谈判小组一致确定响应供应商符合谈判文件要求的，按谈判文件设定的方法和标准确定成交候选人。第一轮谈判谈判小组未能确定成交候选人的，对谈判文件修正后进行第二轮谈判。</w:t>
      </w:r>
    </w:p>
    <w:p w14:paraId="3316439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11.3谈判文件修正</w:t>
      </w:r>
    </w:p>
    <w:p w14:paraId="4A99F4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⑴第一轮</w:t>
      </w:r>
      <w:r>
        <w:rPr>
          <w:rFonts w:hint="eastAsia" w:ascii="宋体" w:hAnsi="宋体" w:eastAsia="宋体" w:cs="宋体"/>
          <w:sz w:val="24"/>
          <w:szCs w:val="24"/>
        </w:rPr>
        <w:t>谈判</w:t>
      </w:r>
      <w:r>
        <w:rPr>
          <w:rFonts w:hint="eastAsia" w:ascii="宋体" w:hAnsi="宋体" w:eastAsia="宋体" w:cs="宋体"/>
          <w:kern w:val="0"/>
          <w:sz w:val="24"/>
          <w:szCs w:val="24"/>
        </w:rPr>
        <w:t>结束后，各响应供应商退场等候，谈判小组进行合议。根据第一轮谈判掌握的情况，可以对谈判文件进行修改，确定采购内容的详细规格或具体要求，优化采购方案。</w:t>
      </w:r>
    </w:p>
    <w:p w14:paraId="0BAD0A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⑵谈判小组通知响应供应商集中，谈判小组强调调整后的采购要求，将谈判文件的修改结果以书面的形式通知响应供应商，向响应供应商提供较充分的修正时间。</w:t>
      </w:r>
    </w:p>
    <w:p w14:paraId="523746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⑶响应供应商根据第一轮谈判情况和谈判文件修改书面的通知，对原响应文件进行修正，并将修正文件签字（盖章）后密封送交谈判小组。逾时不交的，视同放弃谈判。修正文件与响应文件同具法律效应。</w:t>
      </w:r>
    </w:p>
    <w:p w14:paraId="09D8729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11.4第二轮谈判</w:t>
      </w:r>
    </w:p>
    <w:p w14:paraId="5E5D21B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谈判小组就修正后的响应文件与响应供应商分别进行谈判。代理机构对谈判过程和重要谈判内容进行记录，谈判双方在记录上签字确认。谈判小组按谈判文件设定的方法和标准确定成交候选人。</w:t>
      </w:r>
    </w:p>
    <w:p w14:paraId="24CB09D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二轮谈判为最终谈判，在采购需求、质量和服务没有实质性变化的情况下，第二轮报价不得高于第一轮报价，否则将其作为无效报价。响应供应商的第二轮报价与第一轮报价相比，出现差价较大等异常现象的，谈判小组应要求供应商在规定的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5C10E28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11.5最后报价（报价表格详见附件</w:t>
      </w:r>
      <w:r>
        <w:rPr>
          <w:rFonts w:hint="eastAsia" w:ascii="宋体" w:hAnsi="宋体" w:eastAsia="宋体" w:cs="宋体"/>
          <w:sz w:val="24"/>
          <w:szCs w:val="24"/>
          <w:lang w:val="en-US" w:eastAsia="zh-CN"/>
        </w:rPr>
        <w:t>十六</w:t>
      </w:r>
      <w:r>
        <w:rPr>
          <w:rFonts w:hint="eastAsia" w:ascii="宋体" w:hAnsi="宋体" w:eastAsia="宋体" w:cs="宋体"/>
          <w:sz w:val="24"/>
          <w:szCs w:val="24"/>
        </w:rPr>
        <w:t>）</w:t>
      </w:r>
    </w:p>
    <w:p w14:paraId="67AA24D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成交候选人作最后报价，密封递交谈判小组。报价大小写保持一致，大小写不一致的以大写为准，谈判小组按报价从低到高排序，推荐成交候选人顺序，形成谈判报告。</w:t>
      </w:r>
    </w:p>
    <w:p w14:paraId="6ADECA5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11.6响应供应商的报价均超过了拦标价，采购人不能支付的，谈判活动终止；终止后，采购人需要采取调整采购拦标价或项目配置标准等，或采取其他采购方式的，应当在采购活动开始前获得政府采购监督管理部门批准。</w:t>
      </w:r>
    </w:p>
    <w:p w14:paraId="074D8B5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bCs/>
          <w:sz w:val="24"/>
          <w:szCs w:val="24"/>
        </w:rPr>
        <w:t>六、</w:t>
      </w:r>
      <w:r>
        <w:rPr>
          <w:rFonts w:hint="eastAsia" w:ascii="宋体" w:hAnsi="宋体" w:eastAsia="宋体" w:cs="宋体"/>
          <w:b/>
          <w:sz w:val="24"/>
          <w:szCs w:val="24"/>
        </w:rPr>
        <w:t>成交报价要求</w:t>
      </w:r>
    </w:p>
    <w:p w14:paraId="1D5809B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、成交价格为成交人的响应文件中提出的各项支付金额的总和。响应人的报价一旦为采购人接受，除合同中另有约定，其他任何情况下不予以调整。谈判价格须以人民币为货币单位。</w:t>
      </w:r>
    </w:p>
    <w:p w14:paraId="72CCEB68">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sz w:val="24"/>
          <w:szCs w:val="24"/>
        </w:rPr>
        <w:t>、响应人可先到工地勘察以充分了解工地的位置、道路、储存空间、装卸限制及任何其他足以影响承包价的情况，任何忽视或误解工地情况而导致的索赔或工期延长申请均不予批准。</w:t>
      </w:r>
    </w:p>
    <w:p w14:paraId="47D8B9D6">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3</w:t>
      </w:r>
      <w:r>
        <w:rPr>
          <w:rFonts w:hint="eastAsia" w:ascii="宋体" w:hAnsi="宋体" w:eastAsia="宋体" w:cs="宋体"/>
          <w:sz w:val="24"/>
          <w:szCs w:val="24"/>
        </w:rPr>
        <w:t>、现场条件为现有条件，响应人报价中充分考虑为确保施工条件而增加的造价，任何忽视或误解工地情况而导致的索赔或工期延长申请均不予批准。</w:t>
      </w:r>
    </w:p>
    <w:p w14:paraId="1292C72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sz w:val="24"/>
          <w:szCs w:val="24"/>
        </w:rPr>
        <w:t>4</w:t>
      </w:r>
      <w:r>
        <w:rPr>
          <w:rFonts w:hint="eastAsia" w:ascii="宋体" w:hAnsi="宋体" w:eastAsia="宋体" w:cs="宋体"/>
          <w:sz w:val="24"/>
          <w:szCs w:val="24"/>
        </w:rPr>
        <w:t>、</w:t>
      </w:r>
      <w:r>
        <w:rPr>
          <w:rFonts w:hint="eastAsia" w:ascii="宋体" w:hAnsi="宋体" w:eastAsia="宋体" w:cs="宋体"/>
          <w:kern w:val="0"/>
          <w:sz w:val="24"/>
          <w:szCs w:val="24"/>
        </w:rPr>
        <w:t>报价方要结</w:t>
      </w:r>
      <w:r>
        <w:rPr>
          <w:rFonts w:hint="eastAsia" w:ascii="宋体" w:hAnsi="宋体" w:eastAsia="宋体" w:cs="宋体"/>
          <w:kern w:val="2"/>
          <w:sz w:val="24"/>
          <w:szCs w:val="24"/>
          <w:lang w:val="en-US" w:eastAsia="zh-CN" w:bidi="ar-SA"/>
        </w:rPr>
        <w:t>合市场行情及季节因素报价。要考虑投标过程中的一切责任风险及可能发生</w:t>
      </w:r>
      <w:r>
        <w:rPr>
          <w:rFonts w:hint="eastAsia" w:ascii="宋体" w:hAnsi="宋体" w:eastAsia="宋体" w:cs="宋体"/>
          <w:kern w:val="0"/>
          <w:sz w:val="24"/>
          <w:szCs w:val="24"/>
        </w:rPr>
        <w:t>的费用，并对因此造成的后果负责。无论报价结果如何，报价方自行承担所有参与报价有关的全部费用。</w:t>
      </w:r>
    </w:p>
    <w:p w14:paraId="71D4514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七、确定成交供应商办法</w:t>
      </w:r>
    </w:p>
    <w:p w14:paraId="60FD7DC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12.1 谈判小组只要求商务评审和技术（服务）评审合格的谈判供应商在规定的时间内进行报价。</w:t>
      </w:r>
    </w:p>
    <w:p w14:paraId="55F389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12.2谈判小组将根据竞争性谈判文件的约定决定是否要求所有合格的谈判供应商在规定时间内进行第二次或最后报价，该最后报价将作为谈判小组评比的最终依据。</w:t>
      </w:r>
    </w:p>
    <w:p w14:paraId="0DF31F7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12.3根据符合采购需求、质量和服务相等且报价最低的原则确定成交供应商。</w:t>
      </w:r>
    </w:p>
    <w:p w14:paraId="5B3ED34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八、签订合同</w:t>
      </w:r>
    </w:p>
    <w:p w14:paraId="5236A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13.成交供应商在收到成交通知书后，</w:t>
      </w:r>
      <w:r>
        <w:rPr>
          <w:rFonts w:hint="eastAsia" w:ascii="宋体" w:hAnsi="宋体" w:eastAsia="宋体" w:cs="宋体"/>
          <w:sz w:val="24"/>
          <w:szCs w:val="24"/>
          <w:lang w:val="en-US" w:eastAsia="zh-CN"/>
        </w:rPr>
        <w:t>三十日内</w:t>
      </w:r>
      <w:r>
        <w:rPr>
          <w:rFonts w:hint="eastAsia" w:ascii="宋体" w:hAnsi="宋体" w:eastAsia="宋体" w:cs="宋体"/>
          <w:sz w:val="24"/>
          <w:szCs w:val="24"/>
        </w:rPr>
        <w:t>与采购人签订合同。</w:t>
      </w:r>
    </w:p>
    <w:p w14:paraId="51C1BCFB">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九、适用法律</w:t>
      </w:r>
    </w:p>
    <w:p w14:paraId="2143611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14.采购当事人的一切活动均适用于《中华人民共和国政府采购法》及相关规定。</w:t>
      </w:r>
    </w:p>
    <w:p w14:paraId="1D42313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br w:type="page"/>
      </w:r>
    </w:p>
    <w:p w14:paraId="4E9FB4C3">
      <w:pPr>
        <w:pStyle w:val="3"/>
        <w:bidi w:val="0"/>
        <w:jc w:val="center"/>
        <w:rPr>
          <w:rFonts w:hint="eastAsia" w:ascii="宋体" w:hAnsi="宋体" w:eastAsia="宋体" w:cs="宋体"/>
          <w:sz w:val="24"/>
          <w:szCs w:val="24"/>
        </w:rPr>
      </w:pPr>
      <w:bookmarkStart w:id="7" w:name="_Toc28441"/>
      <w:bookmarkStart w:id="8" w:name="_Toc119"/>
      <w:bookmarkStart w:id="9" w:name="_Toc29360"/>
      <w:r>
        <w:rPr>
          <w:rFonts w:hint="eastAsia" w:ascii="宋体" w:hAnsi="宋体" w:eastAsia="宋体" w:cs="宋体"/>
          <w:b/>
          <w:sz w:val="24"/>
          <w:szCs w:val="24"/>
        </w:rPr>
        <w:t>第三部分  采购项目技术规格及要求</w:t>
      </w:r>
      <w:bookmarkEnd w:id="7"/>
      <w:bookmarkEnd w:id="8"/>
      <w:bookmarkEnd w:id="9"/>
    </w:p>
    <w:p w14:paraId="3CC1A6D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一、项目编号：</w:t>
      </w:r>
      <w:r>
        <w:rPr>
          <w:rFonts w:hint="eastAsia" w:ascii="宋体" w:hAnsi="宋体" w:eastAsia="宋体" w:cs="宋体"/>
          <w:sz w:val="24"/>
          <w:szCs w:val="24"/>
          <w:lang w:eastAsia="zh-CN"/>
        </w:rPr>
        <w:t>LTHS2026104</w:t>
      </w:r>
    </w:p>
    <w:p w14:paraId="49DC89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二、项目名称：</w:t>
      </w:r>
      <w:r>
        <w:rPr>
          <w:rFonts w:hint="eastAsia" w:ascii="宋体" w:hAnsi="宋体" w:eastAsia="宋体" w:cs="宋体"/>
          <w:sz w:val="24"/>
          <w:szCs w:val="24"/>
          <w:lang w:val="en-US" w:eastAsia="zh-CN"/>
        </w:rPr>
        <w:t>大冶市还地桥镇政府机关办公文具用品采购项目</w:t>
      </w:r>
    </w:p>
    <w:p w14:paraId="4D1B77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三、采购项目需求：</w:t>
      </w:r>
    </w:p>
    <w:p w14:paraId="5AEB9B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1.付款方式：</w:t>
      </w:r>
      <w:r>
        <w:rPr>
          <w:rFonts w:hint="eastAsia" w:ascii="宋体" w:hAnsi="宋体" w:eastAsia="宋体" w:cs="宋体"/>
          <w:color w:val="000000" w:themeColor="text1"/>
          <w:sz w:val="24"/>
          <w:szCs w:val="24"/>
          <w:lang w:val="en-US" w:eastAsia="zh-CN"/>
        </w:rPr>
        <w:t>货款金额按季度实际供货量据实结算</w:t>
      </w:r>
      <w:r>
        <w:rPr>
          <w:rFonts w:hint="eastAsia" w:ascii="宋体" w:hAnsi="宋体" w:eastAsia="宋体" w:cs="宋体"/>
          <w:color w:val="000000" w:themeColor="text1"/>
          <w:sz w:val="24"/>
          <w:szCs w:val="24"/>
          <w:lang w:val="zh-CN"/>
        </w:rPr>
        <w:t>。</w:t>
      </w:r>
    </w:p>
    <w:p w14:paraId="5704391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zh-CN"/>
        </w:rPr>
        <w:t>2.</w:t>
      </w:r>
      <w:r>
        <w:rPr>
          <w:rFonts w:hint="eastAsia" w:ascii="宋体" w:hAnsi="宋体" w:eastAsia="宋体" w:cs="宋体"/>
          <w:color w:val="000000" w:themeColor="text1"/>
          <w:sz w:val="24"/>
          <w:szCs w:val="24"/>
          <w:lang w:val="en-US" w:eastAsia="zh-CN"/>
        </w:rPr>
        <w:t>交货周期</w:t>
      </w:r>
      <w:r>
        <w:rPr>
          <w:rFonts w:hint="eastAsia" w:ascii="宋体" w:hAnsi="宋体" w:eastAsia="宋体" w:cs="宋体"/>
          <w:color w:val="000000" w:themeColor="text1"/>
          <w:sz w:val="24"/>
          <w:szCs w:val="24"/>
          <w:lang w:val="zh-CN"/>
        </w:rPr>
        <w:t>：</w:t>
      </w:r>
      <w:r>
        <w:rPr>
          <w:rFonts w:hint="eastAsia" w:ascii="宋体" w:hAnsi="宋体" w:eastAsia="宋体" w:cs="宋体"/>
          <w:color w:val="000000" w:themeColor="text1"/>
          <w:sz w:val="24"/>
          <w:szCs w:val="24"/>
          <w:lang w:val="en-US" w:eastAsia="zh-CN"/>
        </w:rPr>
        <w:t>签订合同后，以接到业主供货通知3个日历天内完成供货，否则视为违约。</w:t>
      </w:r>
    </w:p>
    <w:p w14:paraId="1F32CCF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3.质量</w:t>
      </w:r>
      <w:r>
        <w:rPr>
          <w:rFonts w:hint="eastAsia" w:ascii="宋体" w:hAnsi="宋体" w:eastAsia="宋体" w:cs="宋体"/>
          <w:sz w:val="24"/>
          <w:szCs w:val="24"/>
          <w:lang w:val="en-US" w:eastAsia="zh-CN"/>
        </w:rPr>
        <w:t>要求</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本次采购项目的产品必须达到国家质量验收规范合格标准；</w:t>
      </w:r>
    </w:p>
    <w:p w14:paraId="6E958179">
      <w:pPr>
        <w:keepNext w:val="0"/>
        <w:keepLines w:val="0"/>
        <w:pageBreakBefore w:val="0"/>
        <w:widowControl w:val="0"/>
        <w:kinsoku/>
        <w:wordWrap/>
        <w:overflowPunct/>
        <w:topLinePunct w:val="0"/>
        <w:autoSpaceDE/>
        <w:autoSpaceDN/>
        <w:bidi w:val="0"/>
        <w:adjustRightInd/>
        <w:snapToGrid/>
        <w:spacing w:line="400" w:lineRule="exact"/>
        <w:ind w:right="-48" w:rightChars="-23"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  安全要求：合格</w:t>
      </w:r>
      <w:r>
        <w:rPr>
          <w:rFonts w:hint="eastAsia" w:ascii="宋体" w:hAnsi="宋体" w:eastAsia="宋体" w:cs="宋体"/>
          <w:sz w:val="24"/>
          <w:szCs w:val="24"/>
          <w:lang w:val="zh-CN" w:eastAsia="zh-CN"/>
        </w:rPr>
        <w:t>。</w:t>
      </w:r>
    </w:p>
    <w:p w14:paraId="390F5E0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en-US" w:eastAsia="zh-CN"/>
        </w:rPr>
        <w:t>4.质保期：1年</w:t>
      </w:r>
    </w:p>
    <w:p w14:paraId="1CA60E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5.采购清单：</w:t>
      </w:r>
    </w:p>
    <w:tbl>
      <w:tblPr>
        <w:tblStyle w:val="16"/>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
        <w:gridCol w:w="2817"/>
        <w:gridCol w:w="450"/>
        <w:gridCol w:w="1099"/>
        <w:gridCol w:w="501"/>
        <w:gridCol w:w="3066"/>
        <w:gridCol w:w="467"/>
        <w:gridCol w:w="1119"/>
      </w:tblGrid>
      <w:tr w14:paraId="35C2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13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D4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品名及规格</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F2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37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最高限价（元）</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8F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00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品名及规格</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4F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4C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最高限价（元）</w:t>
            </w:r>
          </w:p>
        </w:tc>
      </w:tr>
      <w:tr w14:paraId="3CB5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385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0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笔0.5</w:t>
            </w:r>
          </w:p>
          <w:p w14:paraId="5E29B0C7">
            <w:pPr>
              <w:pStyle w:val="2"/>
              <w:jc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（0.5mm黑色中性笔芯，子弹头/针管头，12支/盒）</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74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F0D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AAA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03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回形针</w:t>
            </w:r>
          </w:p>
          <w:p w14:paraId="58035897">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（标准银色回形针，1000枚/盒）</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8FF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184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r>
      <w:tr w14:paraId="4001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33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53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笔0.7</w:t>
            </w:r>
          </w:p>
          <w:p w14:paraId="1687C592">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（UM-151或P-500型号，0.7mm黑色中性笔，12支/盒，顺滑耐用型）</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0EF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94B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D57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B8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夹子1号</w:t>
            </w:r>
          </w:p>
          <w:p w14:paraId="6EF313C2">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（19mm（小号）长尾夹，100只/盒）</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080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BF0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18</w:t>
            </w:r>
          </w:p>
        </w:tc>
      </w:tr>
      <w:tr w14:paraId="3652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A7B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1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笔1.0</w:t>
            </w:r>
          </w:p>
          <w:p w14:paraId="6A9B2ADB">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（UM-153或BXRT-V5型号，1.0mm黑色中性笔/签字笔，12支/盒，用于签批、标记）</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922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ADF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3B1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F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夹子2号</w:t>
            </w:r>
          </w:p>
          <w:p w14:paraId="4CAE0A59">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（25mm（中号）长尾夹，50只/盒）</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B65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4B0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w:t>
            </w:r>
          </w:p>
        </w:tc>
      </w:tr>
      <w:tr w14:paraId="1F52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A2F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59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铅笔</w:t>
            </w:r>
          </w:p>
          <w:p w14:paraId="29D62EDF">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（HB或2B石墨铅笔，12支/盒，带橡皮头）</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C4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627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AA8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0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夹子3号</w:t>
            </w:r>
          </w:p>
          <w:p w14:paraId="52677FA5">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（32mm（大号）长尾夹，50只/盒）</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A5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C7F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w:t>
            </w:r>
          </w:p>
        </w:tc>
      </w:tr>
      <w:tr w14:paraId="69A0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7C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54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p w14:paraId="4196C3D0">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（4色套装（黑红蓝绿），方形或圆形笔杆，水性可擦，6支/盒）</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A9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C76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BA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08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夹子4号</w:t>
            </w:r>
          </w:p>
          <w:p w14:paraId="229A8F01">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（41mm（特大号）长尾夹，25只/盒）</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D8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61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w:t>
            </w:r>
          </w:p>
        </w:tc>
      </w:tr>
      <w:tr w14:paraId="5AD6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92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9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橡皮</w:t>
            </w:r>
          </w:p>
          <w:p w14:paraId="21672436">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（绘图专用或高粘屑橡皮，12块/盒）</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D3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A86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2F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E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夹子5号</w:t>
            </w:r>
          </w:p>
          <w:p w14:paraId="3DB18885">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（51mm（最大号）长尾夹，25只/盒）</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E7C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810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w:t>
            </w:r>
          </w:p>
        </w:tc>
      </w:tr>
      <w:tr w14:paraId="6AF2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918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7F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修正带(60M)</w:t>
            </w:r>
          </w:p>
          <w:p w14:paraId="273991CB">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（6mm*60M大容量修正带，12个/盒）</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A05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A47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629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75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固体胶</w:t>
            </w:r>
          </w:p>
          <w:p w14:paraId="27C8CE58">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（40g大容量固体胶，12支/盒，可水洗型）</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B46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C4A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24</w:t>
            </w:r>
          </w:p>
        </w:tc>
      </w:tr>
      <w:tr w14:paraId="3CD1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A61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9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封面纸</w:t>
            </w:r>
          </w:p>
          <w:p w14:paraId="20969855">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（A4透明磨砂或纯色加厚封面纸，100张/包，用于报告装订）</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5C3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包</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CA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B78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32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p w14:paraId="1D69BCEF">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（标准型订书机，可订20页左右，含起钉器，单只装）</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B0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25C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26</w:t>
            </w:r>
          </w:p>
        </w:tc>
      </w:tr>
      <w:tr w14:paraId="4033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1B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2A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p w14:paraId="1169A093">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（A5或A4尺寸，80-100页/本，无线胶装，单色或多彩封面）</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736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本</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485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9D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6B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p w14:paraId="456227A3">
            <w:pPr>
              <w:pStyle w:val="2"/>
              <w:jc w:val="center"/>
              <w:rPr>
                <w:rFonts w:hint="eastAsia"/>
                <w:lang w:eastAsia="zh-CN"/>
              </w:rPr>
            </w:pPr>
            <w:r>
              <w:rPr>
                <w:rFonts w:hint="eastAsia" w:ascii="宋体" w:hAnsi="宋体" w:eastAsia="宋体" w:cs="宋体"/>
                <w:i w:val="0"/>
                <w:iCs w:val="0"/>
                <w:color w:val="000000"/>
                <w:kern w:val="0"/>
                <w:sz w:val="21"/>
                <w:szCs w:val="21"/>
                <w:u w:val="none"/>
                <w:lang w:val="en-US" w:eastAsia="zh-CN" w:bidi="ar"/>
              </w:rPr>
              <w:t>（24/6标准订书钉，1000枚/盒）</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B09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0A3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r>
      <w:tr w14:paraId="2761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2D5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6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p w14:paraId="1DCE30FF">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（76mm*76mm经典方形，100张/本，5本/盒，多色组合）</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E4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3A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077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2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剪刀</w:t>
            </w:r>
          </w:p>
          <w:p w14:paraId="3EA4B4DC">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（8英寸办公剪刀，不锈钢材质，圆头安全设计，单把装）</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2BA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E73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r>
      <w:tr w14:paraId="5F8A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859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2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文件盘</w:t>
            </w:r>
          </w:p>
          <w:p w14:paraId="51726295">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（A4多层文件托盘，塑料材质，3-5层/套，可组合叠放）</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9F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45C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E8A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EF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p w14:paraId="259EAFFA">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（12位太阳能双电源计算器，带税金计算功能）</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C4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9B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35</w:t>
            </w:r>
          </w:p>
        </w:tc>
      </w:tr>
      <w:tr w14:paraId="1D83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E22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6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文件框</w:t>
            </w:r>
          </w:p>
          <w:p w14:paraId="6181742E">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（A4悬挂式文件夹，塑料材质，10-20页/套，用于活页夹内分类）</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5DD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5D9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E32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A7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128GU盘</w:t>
            </w:r>
          </w:p>
          <w:p w14:paraId="08F4DB6C">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（USB 3.2 Gen 1，读取速度&gt;100MB/s，金属外壳，带挂绳）</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CEE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B55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200</w:t>
            </w:r>
          </w:p>
        </w:tc>
      </w:tr>
      <w:tr w14:paraId="6273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455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0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文件夹</w:t>
            </w:r>
          </w:p>
          <w:p w14:paraId="1AFF87B7">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（A4单页夹，PVC材质，40-60页容量，多种颜色）</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523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3F1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C3B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BE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键盘套</w:t>
            </w:r>
          </w:p>
          <w:p w14:paraId="5AF4E453">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（有线键鼠套装，商务静音设计）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D9D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BA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120</w:t>
            </w:r>
          </w:p>
        </w:tc>
      </w:tr>
      <w:tr w14:paraId="7A67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54A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7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A4板夹</w:t>
            </w:r>
          </w:p>
          <w:p w14:paraId="19AC5CFC">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（A4硬质写字板夹，带不锈钢夹子，单只装）</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399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1EC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964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A9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电池(8个）</w:t>
            </w:r>
          </w:p>
          <w:p w14:paraId="280ECDC0">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（5号(AA)或7号(AAA)碱性电池，8节/板）</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2E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板</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909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40</w:t>
            </w:r>
          </w:p>
        </w:tc>
      </w:tr>
      <w:tr w14:paraId="2CEC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E67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F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文件套</w:t>
            </w:r>
          </w:p>
          <w:p w14:paraId="4ED8CFCE">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（A4透明文件套，磨砂或光面，20个/包，用于单份文件防水防污）</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038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D28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856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54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办公加热垫</w:t>
            </w:r>
          </w:p>
          <w:p w14:paraId="01038956">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（桌面电热桌垫，三档调温，防水防漏电，尺寸约60*40cm）</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41C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30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80</w:t>
            </w:r>
          </w:p>
        </w:tc>
      </w:tr>
      <w:tr w14:paraId="3993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35C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44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p w14:paraId="20BE651B">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（A4无酸纸档案盒，带标签侧签，蓝色或灰色）</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8E8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04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0E2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E9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多孔插线板3米</w:t>
            </w:r>
          </w:p>
          <w:p w14:paraId="27EB31B5">
            <w:pPr>
              <w:pStyle w:val="2"/>
              <w:rPr>
                <w:rFonts w:hint="default"/>
                <w:lang w:val="en-US" w:eastAsia="zh-CN"/>
              </w:rPr>
            </w:pPr>
            <w:r>
              <w:rPr>
                <w:rFonts w:hint="eastAsia" w:ascii="宋体" w:hAnsi="宋体" w:eastAsia="宋体" w:cs="宋体"/>
                <w:i w:val="0"/>
                <w:iCs w:val="0"/>
                <w:color w:val="000000"/>
                <w:kern w:val="0"/>
                <w:sz w:val="21"/>
                <w:szCs w:val="21"/>
                <w:u w:val="none"/>
                <w:lang w:val="en-US" w:eastAsia="zh-CN" w:bidi="ar"/>
              </w:rPr>
              <w:t>（6位以上总控插线板，3米线长，带过载保护，新国标组合孔）</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66F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46B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75</w:t>
            </w:r>
          </w:p>
        </w:tc>
      </w:tr>
      <w:tr w14:paraId="21FA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902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C5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档案袋</w:t>
            </w:r>
          </w:p>
          <w:p w14:paraId="0186BFAD">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（加厚牛皮纸档案袋，带扣线或魔术贴封口，100个/袋）</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8D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袋</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C8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B3B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A2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印台</w:t>
            </w:r>
          </w:p>
          <w:p w14:paraId="22B55B58">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（方形或圆形速干印台，红色或蓝色，单只装）</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C27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52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r>
      <w:tr w14:paraId="0FCF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D4A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2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笔筒</w:t>
            </w:r>
          </w:p>
          <w:p w14:paraId="483E569D">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（圆形或方形塑料笔筒，多功能分隔，单只装）</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58E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2A1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DE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37</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1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印油</w:t>
            </w:r>
          </w:p>
          <w:p w14:paraId="011DDD93">
            <w:pPr>
              <w:pStyle w:val="2"/>
              <w:rPr>
                <w:rFonts w:hint="eastAsia"/>
              </w:rPr>
            </w:pPr>
            <w:r>
              <w:rPr>
                <w:rFonts w:hint="eastAsia" w:ascii="宋体" w:hAnsi="宋体" w:eastAsia="宋体" w:cs="宋体"/>
                <w:i w:val="0"/>
                <w:iCs w:val="0"/>
                <w:color w:val="000000"/>
                <w:kern w:val="0"/>
                <w:sz w:val="21"/>
                <w:szCs w:val="21"/>
                <w:u w:val="none"/>
                <w:lang w:val="en-US" w:eastAsia="zh-CN" w:bidi="ar"/>
              </w:rPr>
              <w:t>（速干型印油，红色或蓝色，50ml/瓶，适用于相应型号印台）</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4D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8A8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r>
      <w:tr w14:paraId="2F64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147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4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信封</w:t>
            </w:r>
          </w:p>
          <w:p w14:paraId="6D32C0A4">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（C5或DL标准公务信封，牛皮纸或白色，100个/袋）</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355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袋</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52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F3A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1506">
            <w:pPr>
              <w:keepNext w:val="0"/>
              <w:keepLines w:val="0"/>
              <w:widowControl/>
              <w:suppressLineNumbers w:val="0"/>
              <w:jc w:val="center"/>
              <w:textAlignment w:val="center"/>
              <w:rPr>
                <w:rFonts w:hint="eastAsia"/>
                <w:sz w:val="21"/>
                <w:szCs w:val="21"/>
              </w:rPr>
            </w:pPr>
            <w:r>
              <w:rPr>
                <w:rFonts w:hint="eastAsia" w:ascii="宋体" w:hAnsi="宋体" w:eastAsia="宋体" w:cs="宋体"/>
                <w:i w:val="0"/>
                <w:iCs w:val="0"/>
                <w:color w:val="000000"/>
                <w:kern w:val="0"/>
                <w:sz w:val="21"/>
                <w:szCs w:val="21"/>
                <w:u w:val="none"/>
                <w:lang w:val="en-US" w:eastAsia="zh-CN" w:bidi="ar"/>
              </w:rPr>
              <w:t>其他目录外办公用品</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4F40">
            <w:pPr>
              <w:jc w:val="center"/>
              <w:rPr>
                <w:rFonts w:hint="eastAsia" w:ascii="宋体" w:hAnsi="宋体" w:eastAsia="宋体" w:cs="宋体"/>
                <w:i w:val="0"/>
                <w:iCs w:val="0"/>
                <w:color w:val="000000"/>
                <w:sz w:val="21"/>
                <w:szCs w:val="21"/>
                <w:u w:val="none"/>
                <w:lang w:val="en-US" w:eastAsia="zh-CN"/>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9A3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44460</w:t>
            </w:r>
          </w:p>
        </w:tc>
      </w:tr>
    </w:tbl>
    <w:p w14:paraId="2ED5F622">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四、报价说明</w:t>
      </w:r>
    </w:p>
    <w:p w14:paraId="11B76D76">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报价方式：本项目采用按单价统一下浮率报价。即采购清单每项单品单价为最高限价，投标报价超出此限价为无效报价。</w:t>
      </w:r>
    </w:p>
    <w:p w14:paraId="043C3531">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所列单价应包括采购需求全部内容。对于本文件中未列明，而供应商认为必需的费用也应列入报价中。在合同实施时，采购人将不予支付成交供应商没有列入的项目费用，并认为此项目的费用已包括在每项单品报价中。</w:t>
      </w:r>
    </w:p>
    <w:p w14:paraId="6BC28582">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结算方式：成交供应商的最终结算价 = 预算单价 </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 xml:space="preserve"> （1-下浮率）</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 xml:space="preserve"> 实际单品数量。</w:t>
      </w:r>
    </w:p>
    <w:p w14:paraId="0D6C73E4">
      <w:pPr>
        <w:keepNext w:val="0"/>
        <w:keepLines w:val="0"/>
        <w:pageBreakBefore w:val="0"/>
        <w:widowControl w:val="0"/>
        <w:numPr>
          <w:ilvl w:val="0"/>
          <w:numId w:val="0"/>
        </w:numPr>
        <w:kinsoku/>
        <w:wordWrap/>
        <w:overflowPunct/>
        <w:topLinePunct w:val="0"/>
        <w:autoSpaceDE/>
        <w:autoSpaceDN/>
        <w:bidi w:val="0"/>
        <w:adjustRightInd/>
        <w:snapToGrid/>
        <w:spacing w:line="39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五、运输及保管、保险</w:t>
      </w:r>
    </w:p>
    <w:p w14:paraId="50025D9D">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1.成交供应商须负责将所有货物安全、完好地运抵采购人指定的地点，包括装卸车；</w:t>
      </w:r>
    </w:p>
    <w:p w14:paraId="4108A9C8">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2.运输、装卸、搬运、安装调试等一切费用及风险均由供应商承担。</w:t>
      </w:r>
    </w:p>
    <w:p w14:paraId="5CF4492F">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2.货物必须提供送货清单，按送货清单验收货物；</w:t>
      </w:r>
    </w:p>
    <w:p w14:paraId="015CB7E5">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3.货物在现场的保管由成交供应商负责验收完毕。</w:t>
      </w:r>
    </w:p>
    <w:p w14:paraId="4BD0793B">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六、质量标准</w:t>
      </w:r>
    </w:p>
    <w:p w14:paraId="056E4938">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1.所投货物必须是厂商原装的、全新的、规格及指标符合或优于国家及采购文件提出的有关质量、安全标准、要求的货物。</w:t>
      </w:r>
    </w:p>
    <w:p w14:paraId="27DC1096">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2.所投货物必须符合国家质量检测标准和专业设备检测标准。</w:t>
      </w:r>
    </w:p>
    <w:p w14:paraId="56B3C552">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3.货物包装均应有良好的防湿、防锈、防潮、防雨、防腐及防碰撞的措施。凡由于包装不良造成的损失和由此产生的费用均由成交供应商承担。</w:t>
      </w:r>
    </w:p>
    <w:p w14:paraId="09C5AB58">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七、检验验收</w:t>
      </w:r>
    </w:p>
    <w:p w14:paraId="4B2E8E6A">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1.采购人在货物运抵现场后视情况分批组织货物验收，并派遣指定人员制作验收备忘录，签署验收意见。</w:t>
      </w:r>
    </w:p>
    <w:p w14:paraId="61D33F1A">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2.采购人代表应按照合同约定依据收货通知及验收表对货物的包装、外观质量、规格、数量及有效期等对货物进行验收（货物名称、规格、数量与合同文件相一致）。</w:t>
      </w:r>
    </w:p>
    <w:p w14:paraId="6AC64A73">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人组成验收小组按国家有关规定、规范进行验收，必要时邀请相关的专业人员或机构参与验收。因货物质量问题发生争议时，由本地质量技术监督部门检测。采购人可以抽取货物总数量不多于3‰比例数量的货物送检，检测费由成交供应商承担。</w:t>
      </w:r>
    </w:p>
    <w:p w14:paraId="2F0F84A4">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验收时如发现所交付的产品有短装、次品、损坏或其它不符合谈判文件规定之情形者，采购人应做出详尽的现场记录，或由采购人和成交供应商双方签署备忘录。此现场记录或备忘录可用作补充、缺失和更换损坏部件的有效证据。由此产生的有关费用由成交供应商承担。</w:t>
      </w:r>
    </w:p>
    <w:p w14:paraId="2EEBF01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八、质量保证及售后服务</w:t>
      </w:r>
    </w:p>
    <w:p w14:paraId="249625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1.成交供应商应保证生产厂家是合法合规的。</w:t>
      </w:r>
    </w:p>
    <w:p w14:paraId="0FA424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2.产品出厂时，生产厂家均经过严格的质检程序，保证所提供的产品符合国家或行业标准要求。</w:t>
      </w:r>
    </w:p>
    <w:p w14:paraId="3B80E5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3.在质量保证期内，成交供应商实行质量“三包”服务，在质保期内所有的维修费用由成交供应商负担。</w:t>
      </w:r>
    </w:p>
    <w:p w14:paraId="4CAF11D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九、其他要求：</w:t>
      </w:r>
    </w:p>
    <w:p w14:paraId="696112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1.成交供应商保证长期为采购人提供所需的备品各件，提供各种技术方面的咨询</w:t>
      </w:r>
      <w:r>
        <w:rPr>
          <w:rFonts w:hint="eastAsia" w:ascii="宋体" w:hAnsi="宋体" w:eastAsia="宋体" w:cs="宋体"/>
          <w:b w:val="0"/>
          <w:bCs/>
          <w:sz w:val="24"/>
          <w:szCs w:val="24"/>
          <w:lang w:eastAsia="zh-CN"/>
        </w:rPr>
        <w:t>；</w:t>
      </w:r>
    </w:p>
    <w:p w14:paraId="1A61A1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2.在保修期内使用中发生损坏，成交供应商接到采购人电话后能在1小时内到场解决问题</w:t>
      </w:r>
      <w:r>
        <w:rPr>
          <w:rFonts w:hint="eastAsia" w:ascii="宋体" w:hAnsi="宋体" w:eastAsia="宋体" w:cs="宋体"/>
          <w:b w:val="0"/>
          <w:bCs/>
          <w:sz w:val="24"/>
          <w:szCs w:val="24"/>
          <w:lang w:eastAsia="zh-CN"/>
        </w:rPr>
        <w:t>；</w:t>
      </w:r>
    </w:p>
    <w:p w14:paraId="78164A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3.货物在质保期内因货物本身的质量问题发生损坏，成交供应商应负责免费更换</w:t>
      </w:r>
      <w:r>
        <w:rPr>
          <w:rFonts w:hint="eastAsia" w:ascii="宋体" w:hAnsi="宋体" w:eastAsia="宋体" w:cs="宋体"/>
          <w:b w:val="0"/>
          <w:bCs/>
          <w:sz w:val="24"/>
          <w:szCs w:val="24"/>
          <w:lang w:eastAsia="zh-CN"/>
        </w:rPr>
        <w:t>；</w:t>
      </w:r>
    </w:p>
    <w:p w14:paraId="63578C14">
      <w:pPr>
        <w:rPr>
          <w:rFonts w:hint="eastAsia" w:ascii="宋体" w:hAnsi="宋体" w:eastAsia="宋体" w:cs="宋体"/>
          <w:b/>
          <w:sz w:val="24"/>
          <w:szCs w:val="24"/>
        </w:rPr>
      </w:pPr>
      <w:r>
        <w:rPr>
          <w:rFonts w:hint="eastAsia" w:ascii="宋体" w:hAnsi="宋体" w:eastAsia="宋体" w:cs="宋体"/>
          <w:b/>
          <w:sz w:val="24"/>
          <w:szCs w:val="24"/>
        </w:rPr>
        <w:br w:type="page"/>
      </w:r>
    </w:p>
    <w:p w14:paraId="609309C7">
      <w:pPr>
        <w:pStyle w:val="3"/>
        <w:bidi w:val="0"/>
        <w:jc w:val="center"/>
        <w:rPr>
          <w:rFonts w:hint="eastAsia" w:ascii="宋体" w:hAnsi="宋体" w:eastAsia="宋体" w:cs="宋体"/>
          <w:b/>
          <w:sz w:val="24"/>
          <w:szCs w:val="24"/>
          <w:lang w:val="hr-HR"/>
        </w:rPr>
      </w:pPr>
      <w:bookmarkStart w:id="10" w:name="_Toc20338"/>
      <w:bookmarkStart w:id="11" w:name="_Toc28936"/>
      <w:bookmarkStart w:id="12" w:name="_Toc15046"/>
      <w:bookmarkStart w:id="13" w:name="_Toc16098"/>
      <w:r>
        <w:rPr>
          <w:rFonts w:hint="eastAsia" w:ascii="宋体" w:hAnsi="宋体" w:eastAsia="宋体" w:cs="宋体"/>
          <w:b/>
          <w:sz w:val="24"/>
          <w:szCs w:val="24"/>
          <w:lang w:val="hr-HR"/>
        </w:rPr>
        <w:t>第四</w:t>
      </w:r>
      <w:r>
        <w:rPr>
          <w:rFonts w:hint="eastAsia" w:ascii="宋体" w:hAnsi="宋体" w:eastAsia="宋体" w:cs="宋体"/>
          <w:b/>
          <w:sz w:val="24"/>
          <w:szCs w:val="24"/>
          <w:lang w:val="en-US" w:eastAsia="zh-CN"/>
        </w:rPr>
        <w:t>部分</w:t>
      </w:r>
      <w:r>
        <w:rPr>
          <w:rFonts w:hint="eastAsia" w:ascii="宋体" w:hAnsi="宋体" w:eastAsia="宋体" w:cs="宋体"/>
          <w:b/>
          <w:sz w:val="24"/>
          <w:szCs w:val="24"/>
          <w:lang w:val="hr-HR"/>
        </w:rPr>
        <w:t xml:space="preserve">  合同书（格式）</w:t>
      </w:r>
      <w:bookmarkEnd w:id="10"/>
      <w:bookmarkEnd w:id="11"/>
      <w:bookmarkEnd w:id="12"/>
    </w:p>
    <w:p w14:paraId="72D831C0">
      <w:pPr>
        <w:snapToGrid w:val="0"/>
        <w:spacing w:line="300" w:lineRule="auto"/>
        <w:jc w:val="center"/>
        <w:rPr>
          <w:rFonts w:ascii="仿宋" w:hAnsi="仿宋" w:eastAsia="仿宋"/>
          <w:b/>
          <w:sz w:val="21"/>
          <w:szCs w:val="21"/>
        </w:rPr>
      </w:pPr>
    </w:p>
    <w:p w14:paraId="7FAFEF3A">
      <w:pPr>
        <w:snapToGrid w:val="0"/>
        <w:spacing w:line="32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根据《政府采购法》和《民法典》。采购人和供应商之间的权利和义务，应当按照平等的原则以合同方式约定。此合同书仅作为签订正式合同时的参考，正式合同书应包括本参考格式之内容。</w:t>
      </w:r>
    </w:p>
    <w:p w14:paraId="3763A574">
      <w:pPr>
        <w:snapToGrid w:val="0"/>
        <w:spacing w:line="324" w:lineRule="auto"/>
        <w:ind w:firstLine="539" w:firstLineChars="245"/>
        <w:rPr>
          <w:rFonts w:hint="eastAsia" w:ascii="宋体" w:hAnsi="宋体" w:eastAsia="宋体" w:cs="宋体"/>
          <w:spacing w:val="-10"/>
          <w:sz w:val="24"/>
          <w:szCs w:val="24"/>
        </w:rPr>
      </w:pPr>
    </w:p>
    <w:p w14:paraId="28F92935">
      <w:pPr>
        <w:snapToGrid w:val="0"/>
        <w:spacing w:line="324" w:lineRule="auto"/>
        <w:ind w:firstLine="540"/>
        <w:jc w:val="center"/>
        <w:rPr>
          <w:rFonts w:hint="eastAsia" w:ascii="宋体" w:hAnsi="宋体" w:eastAsia="宋体" w:cs="宋体"/>
          <w:b/>
          <w:kern w:val="0"/>
          <w:sz w:val="24"/>
          <w:szCs w:val="24"/>
        </w:rPr>
      </w:pPr>
      <w:r>
        <w:rPr>
          <w:rFonts w:hint="eastAsia" w:ascii="宋体" w:hAnsi="宋体" w:eastAsia="宋体" w:cs="宋体"/>
          <w:b/>
          <w:kern w:val="0"/>
          <w:sz w:val="24"/>
          <w:szCs w:val="24"/>
        </w:rPr>
        <w:t>合同书</w:t>
      </w:r>
    </w:p>
    <w:p w14:paraId="0DA79CA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14:paraId="4970A8CB">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14:paraId="6BBA312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14:paraId="0A5F1477">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14:paraId="3C05F1B5">
      <w:pPr>
        <w:snapToGrid w:val="0"/>
        <w:spacing w:line="32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本合同由（以下简称“甲方”）与（以下简称“乙方”）签订。</w:t>
      </w:r>
    </w:p>
    <w:p w14:paraId="7B018DE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乙</w:t>
      </w:r>
      <w:r>
        <w:rPr>
          <w:rFonts w:hint="eastAsia" w:ascii="宋体" w:hAnsi="宋体" w:eastAsia="宋体" w:cs="宋体"/>
          <w:kern w:val="0"/>
          <w:sz w:val="24"/>
          <w:szCs w:val="24"/>
        </w:rPr>
        <w:t>方以总金额万元人民币（用大写数字书写）向</w:t>
      </w:r>
      <w:r>
        <w:rPr>
          <w:rFonts w:hint="eastAsia" w:ascii="宋体" w:hAnsi="宋体" w:eastAsia="宋体" w:cs="宋体"/>
          <w:sz w:val="24"/>
          <w:szCs w:val="24"/>
        </w:rPr>
        <w:t>甲</w:t>
      </w:r>
      <w:r>
        <w:rPr>
          <w:rFonts w:hint="eastAsia" w:ascii="宋体" w:hAnsi="宋体" w:eastAsia="宋体" w:cs="宋体"/>
          <w:kern w:val="0"/>
          <w:sz w:val="24"/>
          <w:szCs w:val="24"/>
        </w:rPr>
        <w:t>方提供如下工程（服务）：</w:t>
      </w:r>
    </w:p>
    <w:p w14:paraId="029CA8AD">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14:paraId="00AEAE45">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1.本合同</w:t>
      </w:r>
      <w:r>
        <w:rPr>
          <w:rFonts w:hint="eastAsia" w:ascii="宋体" w:hAnsi="宋体" w:eastAsia="宋体" w:cs="宋体"/>
          <w:sz w:val="24"/>
          <w:szCs w:val="24"/>
        </w:rPr>
        <w:t>甲</w:t>
      </w:r>
      <w:r>
        <w:rPr>
          <w:rFonts w:hint="eastAsia" w:ascii="宋体" w:hAnsi="宋体" w:eastAsia="宋体" w:cs="宋体"/>
          <w:kern w:val="0"/>
          <w:sz w:val="24"/>
          <w:szCs w:val="24"/>
        </w:rPr>
        <w:t>、</w:t>
      </w:r>
      <w:r>
        <w:rPr>
          <w:rFonts w:hint="eastAsia" w:ascii="宋体" w:hAnsi="宋体" w:eastAsia="宋体" w:cs="宋体"/>
          <w:sz w:val="24"/>
          <w:szCs w:val="24"/>
        </w:rPr>
        <w:t>乙</w:t>
      </w:r>
      <w:r>
        <w:rPr>
          <w:rFonts w:hint="eastAsia" w:ascii="宋体" w:hAnsi="宋体" w:eastAsia="宋体" w:cs="宋体"/>
          <w:kern w:val="0"/>
          <w:sz w:val="24"/>
          <w:szCs w:val="24"/>
        </w:rPr>
        <w:t>双方必须遵守国家颁布的《中华人民共和国民法典》、《中华人民共和国政府采购法》，并各自履行应负的全部责任和义务。</w:t>
      </w:r>
    </w:p>
    <w:p w14:paraId="1687FB08">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甲</w:t>
      </w:r>
      <w:r>
        <w:rPr>
          <w:rFonts w:hint="eastAsia" w:ascii="宋体" w:hAnsi="宋体" w:eastAsia="宋体" w:cs="宋体"/>
          <w:kern w:val="0"/>
          <w:sz w:val="24"/>
          <w:szCs w:val="24"/>
        </w:rPr>
        <w:t>方保证按合同条款规定的时间和方式付给</w:t>
      </w:r>
      <w:r>
        <w:rPr>
          <w:rFonts w:hint="eastAsia" w:ascii="宋体" w:hAnsi="宋体" w:eastAsia="宋体" w:cs="宋体"/>
          <w:sz w:val="24"/>
          <w:szCs w:val="24"/>
        </w:rPr>
        <w:t>乙</w:t>
      </w:r>
      <w:r>
        <w:rPr>
          <w:rFonts w:hint="eastAsia" w:ascii="宋体" w:hAnsi="宋体" w:eastAsia="宋体" w:cs="宋体"/>
          <w:kern w:val="0"/>
          <w:sz w:val="24"/>
          <w:szCs w:val="24"/>
        </w:rPr>
        <w:t>方到期应付的金额，并承担应负的责任和义务。</w:t>
      </w:r>
    </w:p>
    <w:p w14:paraId="7C1D7A2C">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sz w:val="24"/>
          <w:szCs w:val="24"/>
        </w:rPr>
        <w:t>乙</w:t>
      </w:r>
      <w:r>
        <w:rPr>
          <w:rFonts w:hint="eastAsia" w:ascii="宋体" w:hAnsi="宋体" w:eastAsia="宋体" w:cs="宋体"/>
          <w:kern w:val="0"/>
          <w:sz w:val="24"/>
          <w:szCs w:val="24"/>
        </w:rPr>
        <w:t>方保证全部按合同条款规定的内容和实施周期向</w:t>
      </w:r>
      <w:r>
        <w:rPr>
          <w:rFonts w:hint="eastAsia" w:ascii="宋体" w:hAnsi="宋体" w:eastAsia="宋体" w:cs="宋体"/>
          <w:sz w:val="24"/>
          <w:szCs w:val="24"/>
        </w:rPr>
        <w:t>甲</w:t>
      </w:r>
      <w:r>
        <w:rPr>
          <w:rFonts w:hint="eastAsia" w:ascii="宋体" w:hAnsi="宋体" w:eastAsia="宋体" w:cs="宋体"/>
          <w:kern w:val="0"/>
          <w:sz w:val="24"/>
          <w:szCs w:val="24"/>
        </w:rPr>
        <w:t>方提供合格的工程（服务），并承担应负的责任和义务。</w:t>
      </w:r>
    </w:p>
    <w:p w14:paraId="7C21DD66">
      <w:pPr>
        <w:autoSpaceDE w:val="0"/>
        <w:autoSpaceDN w:val="0"/>
        <w:adjustRightInd w:val="0"/>
        <w:snapToGrid w:val="0"/>
        <w:spacing w:line="324"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14:paraId="584A7B9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14:paraId="0B321C1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4.1采购文件(编号：</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w:t>
      </w:r>
    </w:p>
    <w:p w14:paraId="61316E3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w:t>
      </w:r>
      <w:r>
        <w:rPr>
          <w:rFonts w:hint="eastAsia" w:ascii="宋体" w:hAnsi="宋体" w:eastAsia="宋体" w:cs="宋体"/>
          <w:sz w:val="24"/>
          <w:szCs w:val="24"/>
        </w:rPr>
        <w:t>乙</w:t>
      </w:r>
      <w:r>
        <w:rPr>
          <w:rFonts w:hint="eastAsia" w:ascii="宋体" w:hAnsi="宋体" w:eastAsia="宋体" w:cs="宋体"/>
          <w:kern w:val="0"/>
          <w:sz w:val="24"/>
          <w:szCs w:val="24"/>
        </w:rPr>
        <w:t>方成交的响应文件（副本）；</w:t>
      </w:r>
    </w:p>
    <w:p w14:paraId="0E434ECD">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14:paraId="464736B0">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4.4合同条款；</w:t>
      </w:r>
    </w:p>
    <w:p w14:paraId="740DF0E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4.5政府采购代理机构发出的成交通知书；</w:t>
      </w:r>
    </w:p>
    <w:p w14:paraId="0E0A555B">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14:paraId="66EC754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14:paraId="25B6C818">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14:paraId="5F638EBB">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6.工程（服务）及质量</w:t>
      </w:r>
    </w:p>
    <w:p w14:paraId="23A7965C">
      <w:pPr>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本合同所提供的工程（服务）及质量详见采购文件的要求及</w:t>
      </w:r>
      <w:r>
        <w:rPr>
          <w:rFonts w:hint="eastAsia" w:ascii="宋体" w:hAnsi="宋体" w:eastAsia="宋体" w:cs="宋体"/>
          <w:sz w:val="24"/>
          <w:szCs w:val="24"/>
        </w:rPr>
        <w:t>乙</w:t>
      </w:r>
      <w:r>
        <w:rPr>
          <w:rFonts w:hint="eastAsia" w:ascii="宋体" w:hAnsi="宋体" w:eastAsia="宋体" w:cs="宋体"/>
          <w:kern w:val="0"/>
          <w:sz w:val="24"/>
          <w:szCs w:val="24"/>
        </w:rPr>
        <w:t>方响应文件中的承诺。</w:t>
      </w:r>
    </w:p>
    <w:p w14:paraId="545C293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7.付款方式</w:t>
      </w:r>
    </w:p>
    <w:p w14:paraId="0D323A2D">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本合同的付款条件在采购文件中有明确规定。</w:t>
      </w:r>
    </w:p>
    <w:p w14:paraId="1BA14069">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8.合同金额</w:t>
      </w:r>
    </w:p>
    <w:p w14:paraId="75F6C7F6">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合同总金额：人民币</w:t>
      </w:r>
    </w:p>
    <w:p w14:paraId="4C3E555A">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9.实施时间和地点</w:t>
      </w:r>
    </w:p>
    <w:p w14:paraId="30DF5138">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本合同中工程（服务）的实施时间、地点在采购文件中有明确规定。</w:t>
      </w:r>
    </w:p>
    <w:p w14:paraId="36264EF5">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10.合同生效</w:t>
      </w:r>
    </w:p>
    <w:p w14:paraId="6320C65F">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本合同经甲、</w:t>
      </w:r>
      <w:r>
        <w:rPr>
          <w:rFonts w:hint="eastAsia" w:ascii="宋体" w:hAnsi="宋体" w:eastAsia="宋体" w:cs="宋体"/>
          <w:sz w:val="24"/>
          <w:szCs w:val="24"/>
        </w:rPr>
        <w:t>乙</w:t>
      </w:r>
      <w:r>
        <w:rPr>
          <w:rFonts w:hint="eastAsia" w:ascii="宋体" w:hAnsi="宋体" w:eastAsia="宋体" w:cs="宋体"/>
          <w:kern w:val="0"/>
          <w:sz w:val="24"/>
          <w:szCs w:val="24"/>
        </w:rPr>
        <w:t>双方授权代表签字和加盖公章（或合同专用章）后生效。</w:t>
      </w:r>
    </w:p>
    <w:p w14:paraId="2F821F86">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14:paraId="4AE3E2A4">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份，甲方执</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w:t>
      </w:r>
      <w:r>
        <w:rPr>
          <w:rFonts w:hint="eastAsia" w:ascii="宋体" w:hAnsi="宋体" w:eastAsia="宋体" w:cs="宋体"/>
          <w:sz w:val="24"/>
          <w:szCs w:val="24"/>
        </w:rPr>
        <w:t>乙</w:t>
      </w:r>
      <w:r>
        <w:rPr>
          <w:rFonts w:hint="eastAsia" w:ascii="宋体" w:hAnsi="宋体" w:eastAsia="宋体" w:cs="宋体"/>
          <w:kern w:val="0"/>
          <w:sz w:val="24"/>
          <w:szCs w:val="24"/>
        </w:rPr>
        <w:t>方执</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w:t>
      </w:r>
    </w:p>
    <w:p w14:paraId="637B34B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p>
    <w:p w14:paraId="50B52477">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rPr>
        <w:tab/>
      </w:r>
      <w:r>
        <w:rPr>
          <w:rFonts w:hint="eastAsia" w:ascii="宋体" w:hAnsi="宋体" w:eastAsia="宋体" w:cs="宋体"/>
          <w:sz w:val="24"/>
          <w:szCs w:val="24"/>
        </w:rPr>
        <w:t>乙</w:t>
      </w:r>
      <w:r>
        <w:rPr>
          <w:rFonts w:hint="eastAsia" w:ascii="宋体" w:hAnsi="宋体" w:eastAsia="宋体" w:cs="宋体"/>
          <w:kern w:val="0"/>
          <w:sz w:val="24"/>
          <w:szCs w:val="24"/>
        </w:rPr>
        <w:t>方：</w:t>
      </w:r>
    </w:p>
    <w:p w14:paraId="1593B8B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14:paraId="669E7C5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14:paraId="293AF15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14:paraId="52DDA2E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14:paraId="0BB15F05">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电话：</w:t>
      </w:r>
      <w:r>
        <w:rPr>
          <w:rFonts w:hint="eastAsia" w:ascii="宋体" w:hAnsi="宋体" w:eastAsia="宋体" w:cs="宋体"/>
          <w:kern w:val="0"/>
          <w:sz w:val="24"/>
          <w:szCs w:val="24"/>
        </w:rPr>
        <w:tab/>
      </w:r>
      <w:r>
        <w:rPr>
          <w:rFonts w:hint="eastAsia" w:ascii="宋体" w:hAnsi="宋体" w:eastAsia="宋体" w:cs="宋体"/>
          <w:kern w:val="0"/>
          <w:sz w:val="24"/>
          <w:szCs w:val="24"/>
        </w:rPr>
        <w:t>电话：</w:t>
      </w:r>
    </w:p>
    <w:p w14:paraId="59292B6C">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传真：</w:t>
      </w:r>
      <w:r>
        <w:rPr>
          <w:rFonts w:hint="eastAsia" w:ascii="宋体" w:hAnsi="宋体" w:eastAsia="宋体" w:cs="宋体"/>
          <w:kern w:val="0"/>
          <w:sz w:val="24"/>
          <w:szCs w:val="24"/>
        </w:rPr>
        <w:tab/>
      </w:r>
      <w:r>
        <w:rPr>
          <w:rFonts w:hint="eastAsia" w:ascii="宋体" w:hAnsi="宋体" w:eastAsia="宋体" w:cs="宋体"/>
          <w:kern w:val="0"/>
          <w:sz w:val="24"/>
          <w:szCs w:val="24"/>
        </w:rPr>
        <w:t>传真：</w:t>
      </w:r>
    </w:p>
    <w:p w14:paraId="1A14EF1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14:paraId="44CA701A">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14:paraId="2585466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帐号：</w:t>
      </w:r>
      <w:r>
        <w:rPr>
          <w:rFonts w:hint="eastAsia" w:ascii="宋体" w:hAnsi="宋体" w:eastAsia="宋体" w:cs="宋体"/>
          <w:kern w:val="0"/>
          <w:sz w:val="24"/>
          <w:szCs w:val="24"/>
        </w:rPr>
        <w:tab/>
      </w:r>
      <w:r>
        <w:rPr>
          <w:rFonts w:hint="eastAsia" w:ascii="宋体" w:hAnsi="宋体" w:eastAsia="宋体" w:cs="宋体"/>
          <w:kern w:val="0"/>
          <w:sz w:val="24"/>
          <w:szCs w:val="24"/>
        </w:rPr>
        <w:t>帐号：</w:t>
      </w:r>
    </w:p>
    <w:p w14:paraId="5379FF20">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2551E5DB">
      <w:pPr>
        <w:pStyle w:val="3"/>
        <w:bidi w:val="0"/>
        <w:jc w:val="center"/>
        <w:rPr>
          <w:rFonts w:hint="eastAsia" w:ascii="宋体" w:hAnsi="宋体" w:eastAsia="宋体" w:cs="宋体"/>
          <w:b/>
          <w:sz w:val="24"/>
          <w:szCs w:val="24"/>
          <w:lang w:val="hr-HR"/>
        </w:rPr>
      </w:pPr>
      <w:bookmarkStart w:id="14" w:name="_Toc31717"/>
      <w:bookmarkStart w:id="15" w:name="_Toc5832"/>
      <w:r>
        <w:rPr>
          <w:rFonts w:hint="eastAsia" w:ascii="宋体" w:hAnsi="宋体" w:eastAsia="宋体" w:cs="宋体"/>
          <w:b/>
          <w:sz w:val="24"/>
          <w:szCs w:val="24"/>
          <w:lang w:val="en-US" w:eastAsia="zh-CN"/>
        </w:rPr>
        <w:t>第五部分</w:t>
      </w:r>
      <w:r>
        <w:rPr>
          <w:rFonts w:hint="eastAsia" w:ascii="宋体" w:hAnsi="宋体" w:eastAsia="宋体" w:cs="宋体"/>
          <w:b/>
          <w:sz w:val="24"/>
          <w:szCs w:val="24"/>
        </w:rPr>
        <w:t xml:space="preserve"> </w:t>
      </w:r>
      <w:r>
        <w:rPr>
          <w:rFonts w:hint="eastAsia" w:ascii="宋体" w:hAnsi="宋体" w:eastAsia="宋体" w:cs="宋体"/>
          <w:b/>
          <w:sz w:val="24"/>
          <w:szCs w:val="24"/>
          <w:lang w:val="hr-HR"/>
        </w:rPr>
        <w:t>响应文件格式</w:t>
      </w:r>
      <w:bookmarkEnd w:id="13"/>
      <w:bookmarkEnd w:id="14"/>
      <w:bookmarkEnd w:id="15"/>
    </w:p>
    <w:p w14:paraId="4A2ABC4F">
      <w:pPr>
        <w:spacing w:line="500" w:lineRule="exact"/>
        <w:rPr>
          <w:rFonts w:hint="eastAsia" w:ascii="宋体" w:hAnsi="宋体" w:eastAsia="宋体" w:cs="宋体"/>
          <w:bCs/>
          <w:sz w:val="24"/>
          <w:szCs w:val="24"/>
        </w:rPr>
      </w:pPr>
      <w:r>
        <w:rPr>
          <w:rFonts w:hint="eastAsia" w:ascii="宋体" w:hAnsi="宋体" w:eastAsia="宋体" w:cs="宋体"/>
          <w:sz w:val="24"/>
          <w:szCs w:val="24"/>
        </w:rPr>
        <w:t>封面：</w:t>
      </w:r>
    </w:p>
    <w:p w14:paraId="5EDE803A">
      <w:pPr>
        <w:jc w:val="center"/>
        <w:rPr>
          <w:rFonts w:hint="eastAsia" w:ascii="宋体" w:hAnsi="宋体" w:eastAsia="宋体" w:cs="宋体"/>
          <w:sz w:val="24"/>
          <w:szCs w:val="24"/>
        </w:rPr>
      </w:pPr>
    </w:p>
    <w:p w14:paraId="515B87C3">
      <w:pPr>
        <w:jc w:val="center"/>
        <w:rPr>
          <w:rFonts w:hint="eastAsia" w:ascii="宋体" w:hAnsi="宋体" w:eastAsia="宋体" w:cs="宋体"/>
          <w:sz w:val="24"/>
          <w:szCs w:val="24"/>
        </w:rPr>
      </w:pPr>
    </w:p>
    <w:p w14:paraId="50A2A268">
      <w:pPr>
        <w:jc w:val="center"/>
        <w:rPr>
          <w:rFonts w:hint="eastAsia" w:ascii="宋体" w:hAnsi="宋体" w:eastAsia="宋体" w:cs="宋体"/>
          <w:sz w:val="24"/>
          <w:szCs w:val="24"/>
        </w:rPr>
      </w:pPr>
    </w:p>
    <w:p w14:paraId="4D8C63DE">
      <w:pPr>
        <w:jc w:val="center"/>
        <w:rPr>
          <w:rFonts w:hint="eastAsia" w:ascii="宋体" w:hAnsi="宋体" w:eastAsia="宋体" w:cs="宋体"/>
          <w:b/>
          <w:bCs/>
          <w:color w:val="000000"/>
          <w:spacing w:val="100"/>
          <w:w w:val="66"/>
          <w:sz w:val="120"/>
          <w:szCs w:val="120"/>
          <w:lang w:val="en-US" w:eastAsia="zh-CN"/>
        </w:rPr>
      </w:pPr>
      <w:r>
        <w:rPr>
          <w:rFonts w:hint="eastAsia" w:ascii="宋体" w:hAnsi="宋体" w:eastAsia="宋体" w:cs="宋体"/>
          <w:b/>
          <w:bCs/>
          <w:color w:val="000000"/>
          <w:spacing w:val="100"/>
          <w:w w:val="66"/>
          <w:sz w:val="120"/>
          <w:szCs w:val="120"/>
          <w:lang w:val="en-US" w:eastAsia="zh-CN"/>
        </w:rPr>
        <w:t>竞争性谈判文件</w:t>
      </w:r>
    </w:p>
    <w:p w14:paraId="5D65A271">
      <w:pPr>
        <w:jc w:val="center"/>
        <w:rPr>
          <w:rFonts w:hint="eastAsia" w:ascii="宋体" w:hAnsi="宋体" w:eastAsia="宋体" w:cs="宋体"/>
          <w:sz w:val="44"/>
          <w:szCs w:val="44"/>
        </w:rPr>
      </w:pPr>
    </w:p>
    <w:p w14:paraId="0BEE2D8F">
      <w:pPr>
        <w:jc w:val="center"/>
        <w:rPr>
          <w:rFonts w:hint="eastAsia" w:ascii="宋体" w:hAnsi="宋体" w:eastAsia="宋体" w:cs="宋体"/>
          <w:sz w:val="44"/>
          <w:szCs w:val="44"/>
        </w:rPr>
      </w:pPr>
      <w:r>
        <w:rPr>
          <w:rFonts w:hint="eastAsia" w:ascii="宋体" w:hAnsi="宋体" w:eastAsia="宋体" w:cs="宋体"/>
          <w:sz w:val="44"/>
          <w:szCs w:val="44"/>
        </w:rPr>
        <w:t>（正本/副本）</w:t>
      </w:r>
    </w:p>
    <w:p w14:paraId="2819500D">
      <w:pPr>
        <w:jc w:val="center"/>
        <w:rPr>
          <w:rFonts w:hint="eastAsia" w:ascii="宋体" w:hAnsi="宋体" w:eastAsia="宋体" w:cs="宋体"/>
          <w:sz w:val="32"/>
          <w:szCs w:val="32"/>
        </w:rPr>
      </w:pPr>
    </w:p>
    <w:p w14:paraId="5E582F42">
      <w:pPr>
        <w:ind w:firstLine="1440"/>
        <w:rPr>
          <w:rFonts w:hint="eastAsia" w:ascii="宋体" w:hAnsi="宋体" w:eastAsia="宋体" w:cs="宋体"/>
          <w:bCs/>
          <w:sz w:val="32"/>
          <w:szCs w:val="32"/>
        </w:rPr>
      </w:pPr>
    </w:p>
    <w:p w14:paraId="45DF5A9C">
      <w:pPr>
        <w:ind w:firstLine="1440"/>
        <w:rPr>
          <w:rFonts w:hint="eastAsia" w:ascii="宋体" w:hAnsi="宋体" w:eastAsia="宋体" w:cs="宋体"/>
          <w:bCs/>
          <w:sz w:val="32"/>
          <w:szCs w:val="32"/>
        </w:rPr>
      </w:pPr>
    </w:p>
    <w:p w14:paraId="5C4FB663">
      <w:pPr>
        <w:ind w:firstLine="1440"/>
        <w:rPr>
          <w:rFonts w:hint="eastAsia" w:ascii="宋体" w:hAnsi="宋体" w:eastAsia="宋体" w:cs="宋体"/>
          <w:bCs/>
          <w:sz w:val="32"/>
          <w:szCs w:val="32"/>
        </w:rPr>
      </w:pPr>
    </w:p>
    <w:p w14:paraId="36CB1930">
      <w:pPr>
        <w:ind w:firstLine="1440"/>
        <w:rPr>
          <w:rFonts w:hint="eastAsia" w:ascii="宋体" w:hAnsi="宋体" w:eastAsia="宋体" w:cs="宋体"/>
          <w:bCs/>
          <w:sz w:val="32"/>
          <w:szCs w:val="32"/>
        </w:rPr>
      </w:pPr>
    </w:p>
    <w:p w14:paraId="05602A7B">
      <w:pPr>
        <w:ind w:firstLine="1440"/>
        <w:rPr>
          <w:rFonts w:hint="eastAsia" w:ascii="宋体" w:hAnsi="宋体" w:eastAsia="宋体" w:cs="宋体"/>
          <w:bCs/>
          <w:sz w:val="32"/>
          <w:szCs w:val="32"/>
          <w:u w:val="single"/>
          <w:lang w:val="en-US" w:eastAsia="zh-CN"/>
        </w:rPr>
      </w:pPr>
      <w:r>
        <w:rPr>
          <w:rFonts w:hint="eastAsia" w:ascii="宋体" w:hAnsi="宋体" w:eastAsia="宋体" w:cs="宋体"/>
          <w:bCs/>
          <w:sz w:val="32"/>
          <w:szCs w:val="32"/>
        </w:rPr>
        <w:t>项目编号：</w:t>
      </w:r>
      <w:r>
        <w:rPr>
          <w:rFonts w:hint="eastAsia" w:ascii="宋体" w:hAnsi="宋体" w:eastAsia="宋体" w:cs="宋体"/>
          <w:bCs/>
          <w:sz w:val="32"/>
          <w:szCs w:val="32"/>
          <w:u w:val="single"/>
          <w:lang w:val="en-US" w:eastAsia="zh-CN"/>
        </w:rPr>
        <w:t xml:space="preserve">                      </w:t>
      </w:r>
    </w:p>
    <w:p w14:paraId="357058DE">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lang w:val="en-US" w:eastAsia="zh-CN"/>
        </w:rPr>
        <w:t xml:space="preserve">                      </w:t>
      </w:r>
    </w:p>
    <w:p w14:paraId="47AF3252">
      <w:pPr>
        <w:tabs>
          <w:tab w:val="left" w:pos="3240"/>
        </w:tabs>
        <w:ind w:firstLine="1440"/>
        <w:rPr>
          <w:rFonts w:hint="eastAsia" w:ascii="宋体" w:hAnsi="宋体" w:eastAsia="宋体" w:cs="宋体"/>
          <w:bCs/>
          <w:sz w:val="32"/>
          <w:szCs w:val="32"/>
        </w:rPr>
      </w:pPr>
      <w:r>
        <w:rPr>
          <w:rFonts w:hint="eastAsia" w:ascii="宋体" w:hAnsi="宋体" w:eastAsia="宋体" w:cs="宋体"/>
          <w:bCs/>
          <w:sz w:val="32"/>
          <w:szCs w:val="32"/>
          <w:lang w:val="en-US" w:eastAsia="zh-CN"/>
        </w:rPr>
        <w:t>采购内容</w:t>
      </w:r>
      <w:r>
        <w:rPr>
          <w:rFonts w:hint="eastAsia" w:ascii="宋体" w:hAnsi="宋体" w:eastAsia="宋体" w:cs="宋体"/>
          <w:bCs/>
          <w:sz w:val="32"/>
          <w:szCs w:val="32"/>
        </w:rPr>
        <w:t>：</w:t>
      </w:r>
      <w:r>
        <w:rPr>
          <w:rFonts w:hint="eastAsia" w:ascii="宋体" w:hAnsi="宋体" w:eastAsia="宋体" w:cs="宋体"/>
          <w:bCs/>
          <w:sz w:val="32"/>
          <w:szCs w:val="32"/>
          <w:u w:val="single"/>
          <w:lang w:val="en-US" w:eastAsia="zh-CN"/>
        </w:rPr>
        <w:t xml:space="preserve">                      </w:t>
      </w:r>
    </w:p>
    <w:p w14:paraId="03B6F785">
      <w:pPr>
        <w:tabs>
          <w:tab w:val="left" w:pos="2625"/>
        </w:tabs>
        <w:spacing w:line="360" w:lineRule="auto"/>
        <w:jc w:val="center"/>
        <w:rPr>
          <w:rFonts w:hint="eastAsia" w:ascii="宋体" w:hAnsi="宋体" w:eastAsia="宋体" w:cs="宋体"/>
          <w:sz w:val="32"/>
          <w:szCs w:val="32"/>
        </w:rPr>
      </w:pPr>
    </w:p>
    <w:p w14:paraId="1F664B0B">
      <w:pPr>
        <w:tabs>
          <w:tab w:val="left" w:pos="2625"/>
        </w:tabs>
        <w:spacing w:line="360" w:lineRule="auto"/>
        <w:jc w:val="center"/>
        <w:rPr>
          <w:rFonts w:hint="eastAsia" w:ascii="宋体" w:hAnsi="宋体" w:eastAsia="宋体" w:cs="宋体"/>
          <w:sz w:val="32"/>
          <w:szCs w:val="32"/>
        </w:rPr>
      </w:pPr>
    </w:p>
    <w:p w14:paraId="3AFE3488">
      <w:pPr>
        <w:rPr>
          <w:rFonts w:hint="eastAsia" w:ascii="宋体" w:hAnsi="宋体" w:eastAsia="宋体" w:cs="宋体"/>
          <w:bCs/>
          <w:sz w:val="32"/>
          <w:szCs w:val="32"/>
        </w:rPr>
      </w:pPr>
    </w:p>
    <w:p w14:paraId="62766D9F">
      <w:pPr>
        <w:ind w:firstLine="2240" w:firstLineChars="700"/>
        <w:rPr>
          <w:rFonts w:hint="eastAsia" w:ascii="宋体" w:hAnsi="宋体" w:eastAsia="宋体" w:cs="宋体"/>
          <w:bCs/>
          <w:sz w:val="32"/>
          <w:szCs w:val="32"/>
        </w:rPr>
      </w:pPr>
    </w:p>
    <w:p w14:paraId="6037A8CF">
      <w:pPr>
        <w:ind w:firstLine="2240" w:firstLineChars="700"/>
        <w:rPr>
          <w:rFonts w:hint="eastAsia" w:ascii="宋体" w:hAnsi="宋体" w:eastAsia="宋体" w:cs="宋体"/>
          <w:bCs/>
          <w:sz w:val="32"/>
          <w:szCs w:val="32"/>
        </w:rPr>
      </w:pPr>
    </w:p>
    <w:p w14:paraId="76035AA5">
      <w:pPr>
        <w:ind w:firstLine="2240" w:firstLineChars="700"/>
        <w:rPr>
          <w:rFonts w:hint="eastAsia" w:ascii="宋体" w:hAnsi="宋体" w:eastAsia="宋体" w:cs="宋体"/>
          <w:bCs/>
          <w:sz w:val="32"/>
          <w:szCs w:val="32"/>
        </w:rPr>
      </w:pPr>
      <w:r>
        <w:rPr>
          <w:rFonts w:hint="eastAsia" w:ascii="宋体" w:hAnsi="宋体" w:eastAsia="宋体" w:cs="宋体"/>
          <w:bCs/>
          <w:sz w:val="32"/>
          <w:szCs w:val="32"/>
        </w:rPr>
        <w:t>供应商名称：</w:t>
      </w:r>
    </w:p>
    <w:p w14:paraId="60A396AC">
      <w:pPr>
        <w:jc w:val="center"/>
        <w:rPr>
          <w:rFonts w:hint="eastAsia" w:ascii="宋体" w:hAnsi="宋体" w:eastAsia="宋体" w:cs="宋体"/>
          <w:sz w:val="32"/>
          <w:szCs w:val="32"/>
        </w:rPr>
      </w:pPr>
      <w:r>
        <w:rPr>
          <w:rFonts w:hint="eastAsia" w:ascii="宋体" w:hAnsi="宋体" w:eastAsia="宋体" w:cs="宋体"/>
          <w:sz w:val="32"/>
          <w:szCs w:val="32"/>
        </w:rPr>
        <w:t>年  月  日</w:t>
      </w:r>
    </w:p>
    <w:p w14:paraId="3ADA3DC2">
      <w:pPr>
        <w:jc w:val="center"/>
        <w:rPr>
          <w:rFonts w:hint="eastAsia" w:ascii="宋体" w:hAnsi="宋体" w:eastAsia="宋体" w:cs="宋体"/>
          <w:color w:val="000000" w:themeColor="text1"/>
          <w:sz w:val="24"/>
          <w:szCs w:val="24"/>
        </w:rPr>
      </w:pPr>
      <w:r>
        <w:rPr>
          <w:rFonts w:hint="eastAsia" w:ascii="宋体" w:hAnsi="宋体" w:eastAsia="宋体" w:cs="宋体"/>
          <w:sz w:val="24"/>
          <w:szCs w:val="24"/>
        </w:rPr>
        <w:br w:type="page"/>
      </w:r>
    </w:p>
    <w:p w14:paraId="68B37344">
      <w:pPr>
        <w:spacing w:line="360" w:lineRule="auto"/>
        <w:rPr>
          <w:rFonts w:hint="eastAsia" w:ascii="宋体" w:hAnsi="宋体" w:eastAsia="宋体" w:cs="宋体"/>
          <w:sz w:val="24"/>
          <w:szCs w:val="24"/>
        </w:rPr>
      </w:pPr>
      <w:r>
        <w:rPr>
          <w:rFonts w:hint="eastAsia" w:ascii="宋体" w:hAnsi="宋体" w:eastAsia="宋体" w:cs="宋体"/>
          <w:sz w:val="24"/>
          <w:szCs w:val="24"/>
        </w:rPr>
        <w:t>附件一</w:t>
      </w:r>
    </w:p>
    <w:p w14:paraId="7DA9D9F7">
      <w:pPr>
        <w:spacing w:line="360" w:lineRule="auto"/>
        <w:ind w:firstLine="482" w:firstLineChars="200"/>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谈  判  书</w:t>
      </w:r>
    </w:p>
    <w:p w14:paraId="0A77ACC2">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single"/>
        </w:rPr>
        <w:t>（采购代理机构）</w:t>
      </w:r>
      <w:r>
        <w:rPr>
          <w:rFonts w:hint="eastAsia" w:ascii="宋体" w:hAnsi="宋体" w:eastAsia="宋体" w:cs="宋体"/>
          <w:sz w:val="24"/>
          <w:szCs w:val="24"/>
        </w:rPr>
        <w:t>：</w:t>
      </w:r>
    </w:p>
    <w:p w14:paraId="53B1611C">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bCs/>
          <w:color w:val="000000" w:themeColor="text1"/>
          <w:sz w:val="24"/>
          <w:szCs w:val="24"/>
          <w:u w:val="single"/>
        </w:rPr>
        <w:t>（项目名称、项目编号）</w:t>
      </w:r>
      <w:r>
        <w:rPr>
          <w:rFonts w:hint="eastAsia" w:ascii="宋体" w:hAnsi="宋体" w:eastAsia="宋体" w:cs="宋体"/>
          <w:sz w:val="24"/>
          <w:szCs w:val="24"/>
        </w:rPr>
        <w:t>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提交下述竞争性谈判响应文件正本壹份和副本贰份。</w:t>
      </w:r>
    </w:p>
    <w:p w14:paraId="4F694543">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1.资格证明文件；</w:t>
      </w:r>
    </w:p>
    <w:p w14:paraId="7473B671">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2.按竞争性谈判文件谈判须知和技术规格要求提供的有关文件；</w:t>
      </w:r>
    </w:p>
    <w:p w14:paraId="6EA0ADC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3.其它需要提供的证明材料；</w:t>
      </w:r>
    </w:p>
    <w:p w14:paraId="7A0BC819">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4.报价表；</w:t>
      </w:r>
    </w:p>
    <w:p w14:paraId="7B0E0D2B">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5.已标价工程量清单。</w:t>
      </w:r>
    </w:p>
    <w:p w14:paraId="1562617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50E17AB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1.将按竞争性谈判文件的约定履行合同责任和义务；</w:t>
      </w:r>
    </w:p>
    <w:p w14:paraId="162FCE6E">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2.已详细审查全部竞争性谈判文件，包括</w:t>
      </w:r>
      <w:r>
        <w:rPr>
          <w:rFonts w:hint="eastAsia" w:ascii="宋体" w:hAnsi="宋体" w:eastAsia="宋体" w:cs="宋体"/>
          <w:sz w:val="24"/>
          <w:szCs w:val="24"/>
          <w:u w:val="single"/>
        </w:rPr>
        <w:t>（补遗书）（如果有的话）</w:t>
      </w:r>
      <w:r>
        <w:rPr>
          <w:rFonts w:hint="eastAsia" w:ascii="宋体" w:hAnsi="宋体" w:eastAsia="宋体" w:cs="宋体"/>
          <w:sz w:val="24"/>
          <w:szCs w:val="24"/>
        </w:rPr>
        <w:t>；我们完全理解并同意放弃对这方面有不明及误解的权力；</w:t>
      </w:r>
    </w:p>
    <w:p w14:paraId="692A79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3.本响应文件有效期为自谈判之日起</w:t>
      </w:r>
      <w:r>
        <w:rPr>
          <w:rFonts w:hint="eastAsia" w:ascii="宋体" w:hAnsi="宋体" w:eastAsia="宋体" w:cs="宋体"/>
          <w:color w:val="000000" w:themeColor="text1"/>
          <w:sz w:val="24"/>
          <w:szCs w:val="24"/>
          <w:u w:val="single"/>
        </w:rPr>
        <w:t>（60）</w:t>
      </w:r>
      <w:r>
        <w:rPr>
          <w:rFonts w:hint="eastAsia" w:ascii="宋体" w:hAnsi="宋体" w:eastAsia="宋体" w:cs="宋体"/>
          <w:color w:val="000000" w:themeColor="text1"/>
          <w:sz w:val="24"/>
          <w:szCs w:val="24"/>
        </w:rPr>
        <w:t>个日历日；</w:t>
      </w:r>
    </w:p>
    <w:p w14:paraId="317BE23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4.同意提供按照贵方可能要求的与其谈判有关的一切数据或资料；</w:t>
      </w:r>
    </w:p>
    <w:p w14:paraId="14F83816">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5.与本谈判有关的一切正式往来信函请寄：</w:t>
      </w:r>
    </w:p>
    <w:p w14:paraId="624C8CDA">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71CE0FE">
      <w:pPr>
        <w:pStyle w:val="9"/>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D05CC0E">
      <w:pPr>
        <w:pStyle w:val="9"/>
        <w:adjustRightInd w:val="0"/>
        <w:snapToGrid w:val="0"/>
        <w:spacing w:line="360" w:lineRule="auto"/>
        <w:ind w:firstLine="480" w:firstLineChars="200"/>
        <w:jc w:val="right"/>
        <w:rPr>
          <w:rFonts w:hint="eastAsia" w:ascii="宋体" w:hAnsi="宋体" w:eastAsia="宋体" w:cs="宋体"/>
          <w:sz w:val="24"/>
          <w:szCs w:val="24"/>
        </w:rPr>
      </w:pPr>
    </w:p>
    <w:p w14:paraId="5B19107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1CEFE5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961226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1C1884B">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423C177">
      <w:pPr>
        <w:rPr>
          <w:rFonts w:hint="eastAsia" w:ascii="宋体" w:hAnsi="宋体" w:eastAsia="宋体" w:cs="宋体"/>
          <w:sz w:val="24"/>
          <w:szCs w:val="24"/>
        </w:rPr>
      </w:pPr>
      <w:r>
        <w:rPr>
          <w:rFonts w:hint="eastAsia" w:ascii="宋体" w:hAnsi="宋体" w:eastAsia="宋体" w:cs="宋体"/>
          <w:sz w:val="24"/>
          <w:szCs w:val="24"/>
        </w:rPr>
        <w:br w:type="page"/>
      </w:r>
    </w:p>
    <w:p w14:paraId="1B6E0E84">
      <w:pPr>
        <w:spacing w:line="360" w:lineRule="auto"/>
        <w:rPr>
          <w:rFonts w:hint="eastAsia" w:ascii="宋体" w:hAnsi="宋体" w:eastAsia="宋体" w:cs="宋体"/>
          <w:sz w:val="24"/>
          <w:szCs w:val="24"/>
        </w:rPr>
      </w:pPr>
      <w:r>
        <w:rPr>
          <w:rFonts w:hint="eastAsia" w:ascii="宋体" w:hAnsi="宋体" w:eastAsia="宋体" w:cs="宋体"/>
          <w:sz w:val="24"/>
          <w:szCs w:val="24"/>
        </w:rPr>
        <w:t>附件二</w:t>
      </w:r>
    </w:p>
    <w:p w14:paraId="64CD8334">
      <w:pPr>
        <w:spacing w:line="360" w:lineRule="auto"/>
        <w:ind w:firstLine="482" w:firstLineChars="200"/>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报  价  表</w:t>
      </w:r>
    </w:p>
    <w:p w14:paraId="39B67F4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项目编号:     </w:t>
      </w:r>
    </w:p>
    <w:p w14:paraId="51D34105">
      <w:pPr>
        <w:spacing w:line="360"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项目名称：</w:t>
      </w:r>
    </w:p>
    <w:tbl>
      <w:tblPr>
        <w:tblStyle w:val="16"/>
        <w:tblW w:w="9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6965"/>
      </w:tblGrid>
      <w:tr w14:paraId="2664F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50971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谈判供应商名称</w:t>
            </w:r>
          </w:p>
        </w:tc>
        <w:tc>
          <w:tcPr>
            <w:tcW w:w="6965" w:type="dxa"/>
            <w:tcBorders>
              <w:top w:val="single" w:color="auto" w:sz="4" w:space="0"/>
              <w:left w:val="single" w:color="auto" w:sz="4" w:space="0"/>
              <w:bottom w:val="single" w:color="auto" w:sz="4" w:space="0"/>
              <w:right w:val="single" w:color="auto" w:sz="4" w:space="0"/>
            </w:tcBorders>
            <w:vAlign w:val="center"/>
          </w:tcPr>
          <w:p w14:paraId="1DD7ABC6">
            <w:pPr>
              <w:spacing w:line="360" w:lineRule="auto"/>
              <w:rPr>
                <w:rFonts w:hint="eastAsia" w:ascii="宋体" w:hAnsi="宋体" w:eastAsia="宋体" w:cs="宋体"/>
                <w:sz w:val="24"/>
                <w:szCs w:val="24"/>
              </w:rPr>
            </w:pPr>
          </w:p>
        </w:tc>
      </w:tr>
      <w:tr w14:paraId="2AAA8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16850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谈判报价</w:t>
            </w:r>
          </w:p>
        </w:tc>
        <w:tc>
          <w:tcPr>
            <w:tcW w:w="6965" w:type="dxa"/>
            <w:tcBorders>
              <w:top w:val="single" w:color="auto" w:sz="4" w:space="0"/>
              <w:left w:val="single" w:color="auto" w:sz="4" w:space="0"/>
              <w:bottom w:val="single" w:color="auto" w:sz="4" w:space="0"/>
              <w:right w:val="single" w:color="auto" w:sz="4" w:space="0"/>
            </w:tcBorders>
            <w:vAlign w:val="center"/>
          </w:tcPr>
          <w:p w14:paraId="4706E060">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%（统一按单价下浮率报价）</w:t>
            </w:r>
          </w:p>
        </w:tc>
      </w:tr>
      <w:tr w14:paraId="6AAE3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9A7B9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质量保修期</w:t>
            </w:r>
          </w:p>
        </w:tc>
        <w:tc>
          <w:tcPr>
            <w:tcW w:w="6965" w:type="dxa"/>
            <w:tcBorders>
              <w:top w:val="single" w:color="auto" w:sz="4" w:space="0"/>
              <w:left w:val="single" w:color="auto" w:sz="4" w:space="0"/>
              <w:bottom w:val="single" w:color="auto" w:sz="4" w:space="0"/>
              <w:right w:val="single" w:color="auto" w:sz="4" w:space="0"/>
            </w:tcBorders>
            <w:vAlign w:val="center"/>
          </w:tcPr>
          <w:p w14:paraId="44C9DB0E">
            <w:pPr>
              <w:spacing w:line="360" w:lineRule="auto"/>
              <w:rPr>
                <w:rFonts w:hint="eastAsia" w:ascii="宋体" w:hAnsi="宋体" w:eastAsia="宋体" w:cs="宋体"/>
                <w:sz w:val="24"/>
                <w:szCs w:val="24"/>
              </w:rPr>
            </w:pPr>
          </w:p>
        </w:tc>
      </w:tr>
      <w:tr w14:paraId="5D839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630B95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965" w:type="dxa"/>
            <w:tcBorders>
              <w:top w:val="single" w:color="auto" w:sz="4" w:space="0"/>
              <w:left w:val="single" w:color="auto" w:sz="4" w:space="0"/>
              <w:bottom w:val="single" w:color="auto" w:sz="4" w:space="0"/>
              <w:right w:val="single" w:color="auto" w:sz="4" w:space="0"/>
            </w:tcBorders>
            <w:vAlign w:val="center"/>
          </w:tcPr>
          <w:p w14:paraId="541A15F2">
            <w:pPr>
              <w:spacing w:line="360" w:lineRule="auto"/>
              <w:rPr>
                <w:rFonts w:hint="eastAsia" w:ascii="宋体" w:hAnsi="宋体" w:eastAsia="宋体" w:cs="宋体"/>
                <w:sz w:val="24"/>
                <w:szCs w:val="24"/>
              </w:rPr>
            </w:pPr>
          </w:p>
        </w:tc>
      </w:tr>
      <w:tr w14:paraId="5EE87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F4529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   他</w:t>
            </w:r>
          </w:p>
        </w:tc>
        <w:tc>
          <w:tcPr>
            <w:tcW w:w="6965" w:type="dxa"/>
            <w:tcBorders>
              <w:top w:val="single" w:color="auto" w:sz="4" w:space="0"/>
              <w:left w:val="single" w:color="auto" w:sz="4" w:space="0"/>
              <w:bottom w:val="single" w:color="auto" w:sz="4" w:space="0"/>
              <w:right w:val="single" w:color="auto" w:sz="4" w:space="0"/>
            </w:tcBorders>
            <w:vAlign w:val="center"/>
          </w:tcPr>
          <w:p w14:paraId="6AC18949">
            <w:pPr>
              <w:spacing w:line="360" w:lineRule="auto"/>
              <w:rPr>
                <w:rFonts w:hint="eastAsia" w:ascii="宋体" w:hAnsi="宋体" w:eastAsia="宋体" w:cs="宋体"/>
                <w:sz w:val="24"/>
                <w:szCs w:val="24"/>
              </w:rPr>
            </w:pPr>
          </w:p>
        </w:tc>
      </w:tr>
    </w:tbl>
    <w:p w14:paraId="0C1C119F">
      <w:pPr>
        <w:keepNext w:val="0"/>
        <w:keepLines w:val="0"/>
        <w:pageBreakBefore w:val="0"/>
        <w:widowControl w:val="0"/>
        <w:kinsoku/>
        <w:wordWrap/>
        <w:overflowPunct/>
        <w:topLinePunct w:val="0"/>
        <w:autoSpaceDE/>
        <w:autoSpaceDN/>
        <w:bidi w:val="0"/>
        <w:adjustRightInd/>
        <w:snapToGrid/>
        <w:spacing w:before="313" w:beforeLines="100" w:line="480" w:lineRule="auto"/>
        <w:ind w:firstLine="482" w:firstLineChars="200"/>
        <w:textAlignment w:val="auto"/>
        <w:rPr>
          <w:rFonts w:hint="eastAsia" w:ascii="宋体" w:hAnsi="宋体" w:eastAsia="宋体" w:cs="宋体"/>
          <w:b/>
          <w:bCs/>
          <w:color w:val="333333"/>
          <w:kern w:val="2"/>
          <w:sz w:val="24"/>
          <w:szCs w:val="24"/>
          <w:lang w:val="en-US" w:eastAsia="zh-CN" w:bidi="ar-SA"/>
        </w:rPr>
      </w:pPr>
      <w:r>
        <w:rPr>
          <w:rFonts w:hint="eastAsia" w:ascii="宋体" w:hAnsi="宋体" w:eastAsia="宋体" w:cs="宋体"/>
          <w:b/>
          <w:bCs/>
          <w:color w:val="333333"/>
          <w:sz w:val="24"/>
          <w:szCs w:val="24"/>
          <w:lang w:val="en-US" w:eastAsia="zh-CN"/>
        </w:rPr>
        <w:t>说明：</w:t>
      </w:r>
      <w:r>
        <w:rPr>
          <w:rFonts w:hint="eastAsia" w:ascii="宋体" w:hAnsi="宋体" w:eastAsia="宋体" w:cs="宋体"/>
          <w:b/>
          <w:bCs/>
          <w:color w:val="333333"/>
          <w:kern w:val="2"/>
          <w:sz w:val="24"/>
          <w:szCs w:val="24"/>
          <w:lang w:val="en-US" w:eastAsia="zh-CN" w:bidi="ar-SA"/>
        </w:rPr>
        <w:t>在填写此项时按下浮率报价的数字填写。如下浮率报价为10%，则此项填写“10”即可。</w:t>
      </w:r>
    </w:p>
    <w:p w14:paraId="08DF28B1">
      <w:pPr>
        <w:pStyle w:val="9"/>
        <w:spacing w:beforeLines="50"/>
        <w:rPr>
          <w:rFonts w:hint="eastAsia" w:ascii="宋体" w:hAnsi="宋体" w:eastAsia="宋体" w:cs="宋体"/>
          <w:b/>
          <w:bCs/>
          <w:sz w:val="24"/>
          <w:szCs w:val="24"/>
        </w:rPr>
      </w:pPr>
    </w:p>
    <w:p w14:paraId="694AA29B">
      <w:pPr>
        <w:pStyle w:val="9"/>
        <w:snapToGrid w:val="0"/>
        <w:spacing w:line="360" w:lineRule="auto"/>
        <w:ind w:firstLine="480" w:firstLineChars="200"/>
        <w:rPr>
          <w:rFonts w:hint="eastAsia" w:ascii="宋体" w:hAnsi="宋体" w:eastAsia="宋体" w:cs="宋体"/>
          <w:sz w:val="24"/>
          <w:szCs w:val="24"/>
        </w:rPr>
      </w:pPr>
    </w:p>
    <w:p w14:paraId="317DEC36">
      <w:pPr>
        <w:pStyle w:val="9"/>
        <w:snapToGrid w:val="0"/>
        <w:spacing w:line="360" w:lineRule="auto"/>
        <w:ind w:firstLine="480" w:firstLineChars="200"/>
        <w:jc w:val="right"/>
        <w:rPr>
          <w:rFonts w:hint="eastAsia" w:ascii="宋体" w:hAnsi="宋体" w:eastAsia="宋体" w:cs="宋体"/>
          <w:sz w:val="24"/>
          <w:szCs w:val="24"/>
        </w:rPr>
      </w:pPr>
    </w:p>
    <w:p w14:paraId="04917D8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6E55D3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988118C">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44AEDF2">
      <w:pPr>
        <w:rPr>
          <w:rFonts w:hint="eastAsia" w:ascii="宋体" w:hAnsi="宋体" w:eastAsia="宋体" w:cs="宋体"/>
          <w:sz w:val="24"/>
          <w:szCs w:val="24"/>
        </w:rPr>
      </w:pPr>
      <w:r>
        <w:rPr>
          <w:rFonts w:hint="eastAsia" w:ascii="宋体" w:hAnsi="宋体" w:eastAsia="宋体" w:cs="宋体"/>
          <w:sz w:val="24"/>
          <w:szCs w:val="24"/>
        </w:rPr>
        <w:br w:type="page"/>
      </w:r>
    </w:p>
    <w:p w14:paraId="15D973F8">
      <w:pPr>
        <w:keepLines w:val="0"/>
        <w:pageBreakBefore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三</w:t>
      </w:r>
    </w:p>
    <w:p w14:paraId="15ECF44D">
      <w:pPr>
        <w:pStyle w:val="2"/>
        <w:jc w:val="center"/>
        <w:rPr>
          <w:rFonts w:hint="eastAsia" w:ascii="宋体" w:hAnsi="宋体" w:eastAsia="宋体" w:cs="宋体"/>
          <w:b/>
          <w:bCs w:val="0"/>
          <w:color w:val="0000FF"/>
          <w:kern w:val="2"/>
          <w:sz w:val="24"/>
          <w:szCs w:val="24"/>
          <w:lang w:val="en-US" w:eastAsia="zh-CN" w:bidi="ar-SA"/>
        </w:rPr>
      </w:pPr>
      <w:r>
        <w:rPr>
          <w:rFonts w:hint="eastAsia" w:ascii="宋体" w:hAnsi="宋体" w:eastAsia="宋体" w:cs="宋体"/>
          <w:b/>
          <w:bCs w:val="0"/>
          <w:color w:val="000000" w:themeColor="text1"/>
          <w:kern w:val="2"/>
          <w:sz w:val="24"/>
          <w:szCs w:val="24"/>
          <w:lang w:val="en-US" w:eastAsia="zh-CN" w:bidi="ar-SA"/>
        </w:rPr>
        <w:t>分项报价表</w:t>
      </w:r>
    </w:p>
    <w:p w14:paraId="61172BDB">
      <w:pPr>
        <w:jc w:val="right"/>
        <w:rPr>
          <w:rFonts w:hint="eastAsia" w:ascii="宋体" w:hAnsi="宋体" w:eastAsia="宋体" w:cs="宋体"/>
          <w:sz w:val="24"/>
          <w:szCs w:val="24"/>
          <w:lang w:val="en-US" w:eastAsia="zh-CN"/>
        </w:rPr>
      </w:pPr>
      <w:r>
        <w:rPr>
          <w:rFonts w:hint="eastAsia" w:ascii="宋体" w:hAnsi="宋体" w:eastAsia="宋体" w:cs="宋体"/>
          <w:b w:val="0"/>
          <w:bCs/>
          <w:kern w:val="2"/>
          <w:sz w:val="24"/>
          <w:szCs w:val="24"/>
          <w:lang w:val="en-US" w:eastAsia="zh-CN" w:bidi="ar-SA"/>
        </w:rPr>
        <w:t>单位：%</w:t>
      </w:r>
    </w:p>
    <w:tbl>
      <w:tblPr>
        <w:tblStyle w:val="17"/>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3613"/>
        <w:gridCol w:w="1000"/>
        <w:gridCol w:w="1982"/>
        <w:gridCol w:w="1945"/>
      </w:tblGrid>
      <w:tr w14:paraId="13AA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98" w:type="dxa"/>
            <w:vAlign w:val="center"/>
          </w:tcPr>
          <w:p w14:paraId="1DF73DCF">
            <w:pPr>
              <w:pStyle w:val="2"/>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序号</w:t>
            </w:r>
          </w:p>
        </w:tc>
        <w:tc>
          <w:tcPr>
            <w:tcW w:w="3613" w:type="dxa"/>
            <w:vAlign w:val="center"/>
          </w:tcPr>
          <w:p w14:paraId="3BC7757E">
            <w:pPr>
              <w:pStyle w:val="2"/>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品名及规格</w:t>
            </w:r>
          </w:p>
        </w:tc>
        <w:tc>
          <w:tcPr>
            <w:tcW w:w="1000" w:type="dxa"/>
            <w:vAlign w:val="center"/>
          </w:tcPr>
          <w:p w14:paraId="272D25E2">
            <w:pPr>
              <w:pStyle w:val="2"/>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单位</w:t>
            </w:r>
          </w:p>
        </w:tc>
        <w:tc>
          <w:tcPr>
            <w:tcW w:w="1982" w:type="dxa"/>
            <w:vAlign w:val="center"/>
          </w:tcPr>
          <w:p w14:paraId="70E19420">
            <w:pPr>
              <w:pStyle w:val="2"/>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预算单价</w:t>
            </w:r>
          </w:p>
        </w:tc>
        <w:tc>
          <w:tcPr>
            <w:tcW w:w="1945" w:type="dxa"/>
            <w:vAlign w:val="center"/>
          </w:tcPr>
          <w:p w14:paraId="39809490">
            <w:pPr>
              <w:pStyle w:val="2"/>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单价统一下浮率（%）</w:t>
            </w:r>
          </w:p>
        </w:tc>
      </w:tr>
      <w:tr w14:paraId="3DF8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98" w:type="dxa"/>
            <w:vAlign w:val="center"/>
          </w:tcPr>
          <w:p w14:paraId="7805FE7D">
            <w:pPr>
              <w:pStyle w:val="2"/>
              <w:jc w:val="center"/>
              <w:rPr>
                <w:rFonts w:hint="eastAsia" w:ascii="宋体" w:hAnsi="宋体" w:eastAsia="宋体" w:cs="宋体"/>
                <w:sz w:val="24"/>
                <w:szCs w:val="24"/>
                <w:vertAlign w:val="baseline"/>
                <w:lang w:val="en-US" w:eastAsia="zh-CN"/>
              </w:rPr>
            </w:pPr>
          </w:p>
        </w:tc>
        <w:tc>
          <w:tcPr>
            <w:tcW w:w="3613" w:type="dxa"/>
            <w:vAlign w:val="center"/>
          </w:tcPr>
          <w:p w14:paraId="2A53D1B7">
            <w:pPr>
              <w:pStyle w:val="2"/>
              <w:jc w:val="center"/>
              <w:rPr>
                <w:rFonts w:hint="eastAsia" w:ascii="宋体" w:hAnsi="宋体" w:eastAsia="宋体" w:cs="宋体"/>
                <w:sz w:val="24"/>
                <w:szCs w:val="24"/>
                <w:vertAlign w:val="baseline"/>
                <w:lang w:val="en-US" w:eastAsia="zh-CN"/>
              </w:rPr>
            </w:pPr>
          </w:p>
        </w:tc>
        <w:tc>
          <w:tcPr>
            <w:tcW w:w="1000" w:type="dxa"/>
            <w:vAlign w:val="center"/>
          </w:tcPr>
          <w:p w14:paraId="3ED75423">
            <w:pPr>
              <w:pStyle w:val="2"/>
              <w:jc w:val="center"/>
              <w:rPr>
                <w:rFonts w:hint="eastAsia" w:ascii="宋体" w:hAnsi="宋体" w:eastAsia="宋体" w:cs="宋体"/>
                <w:sz w:val="24"/>
                <w:szCs w:val="24"/>
                <w:vertAlign w:val="baseline"/>
                <w:lang w:val="en-US" w:eastAsia="zh-CN"/>
              </w:rPr>
            </w:pPr>
          </w:p>
        </w:tc>
        <w:tc>
          <w:tcPr>
            <w:tcW w:w="1982" w:type="dxa"/>
            <w:vAlign w:val="center"/>
          </w:tcPr>
          <w:p w14:paraId="6648B7F1">
            <w:pPr>
              <w:pStyle w:val="2"/>
              <w:jc w:val="center"/>
              <w:rPr>
                <w:rFonts w:hint="eastAsia" w:ascii="宋体" w:hAnsi="宋体" w:eastAsia="宋体" w:cs="宋体"/>
                <w:sz w:val="24"/>
                <w:szCs w:val="24"/>
                <w:vertAlign w:val="baseline"/>
                <w:lang w:val="en-US" w:eastAsia="zh-CN"/>
              </w:rPr>
            </w:pPr>
          </w:p>
        </w:tc>
        <w:tc>
          <w:tcPr>
            <w:tcW w:w="1945" w:type="dxa"/>
            <w:vMerge w:val="restart"/>
            <w:vAlign w:val="center"/>
          </w:tcPr>
          <w:p w14:paraId="7ABEC6D4">
            <w:pPr>
              <w:pStyle w:val="2"/>
              <w:jc w:val="center"/>
              <w:rPr>
                <w:rFonts w:hint="eastAsia" w:ascii="宋体" w:hAnsi="宋体" w:eastAsia="宋体" w:cs="宋体"/>
                <w:sz w:val="24"/>
                <w:szCs w:val="24"/>
                <w:vertAlign w:val="baseline"/>
                <w:lang w:val="en-US" w:eastAsia="zh-CN"/>
              </w:rPr>
            </w:pPr>
          </w:p>
        </w:tc>
      </w:tr>
      <w:tr w14:paraId="24B6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98" w:type="dxa"/>
            <w:vAlign w:val="center"/>
          </w:tcPr>
          <w:p w14:paraId="19AC181D">
            <w:pPr>
              <w:pStyle w:val="2"/>
              <w:jc w:val="center"/>
              <w:rPr>
                <w:rFonts w:hint="eastAsia" w:ascii="宋体" w:hAnsi="宋体" w:eastAsia="宋体" w:cs="宋体"/>
                <w:sz w:val="24"/>
                <w:szCs w:val="24"/>
                <w:vertAlign w:val="baseline"/>
                <w:lang w:val="en-US" w:eastAsia="zh-CN"/>
              </w:rPr>
            </w:pPr>
          </w:p>
        </w:tc>
        <w:tc>
          <w:tcPr>
            <w:tcW w:w="3613" w:type="dxa"/>
            <w:vAlign w:val="center"/>
          </w:tcPr>
          <w:p w14:paraId="0F0C6283">
            <w:pPr>
              <w:pStyle w:val="2"/>
              <w:jc w:val="center"/>
              <w:rPr>
                <w:rFonts w:hint="eastAsia" w:ascii="宋体" w:hAnsi="宋体" w:eastAsia="宋体" w:cs="宋体"/>
                <w:sz w:val="24"/>
                <w:szCs w:val="24"/>
                <w:vertAlign w:val="baseline"/>
                <w:lang w:val="en-US" w:eastAsia="zh-CN"/>
              </w:rPr>
            </w:pPr>
          </w:p>
        </w:tc>
        <w:tc>
          <w:tcPr>
            <w:tcW w:w="1000" w:type="dxa"/>
            <w:vAlign w:val="center"/>
          </w:tcPr>
          <w:p w14:paraId="18FC3C05">
            <w:pPr>
              <w:pStyle w:val="2"/>
              <w:jc w:val="center"/>
              <w:rPr>
                <w:rFonts w:hint="eastAsia" w:ascii="宋体" w:hAnsi="宋体" w:eastAsia="宋体" w:cs="宋体"/>
                <w:sz w:val="24"/>
                <w:szCs w:val="24"/>
                <w:vertAlign w:val="baseline"/>
                <w:lang w:val="en-US" w:eastAsia="zh-CN"/>
              </w:rPr>
            </w:pPr>
          </w:p>
        </w:tc>
        <w:tc>
          <w:tcPr>
            <w:tcW w:w="1982" w:type="dxa"/>
            <w:vAlign w:val="center"/>
          </w:tcPr>
          <w:p w14:paraId="79A8AB36">
            <w:pPr>
              <w:pStyle w:val="2"/>
              <w:jc w:val="center"/>
              <w:rPr>
                <w:rFonts w:hint="eastAsia" w:ascii="宋体" w:hAnsi="宋体" w:eastAsia="宋体" w:cs="宋体"/>
                <w:sz w:val="24"/>
                <w:szCs w:val="24"/>
                <w:vertAlign w:val="baseline"/>
                <w:lang w:val="en-US" w:eastAsia="zh-CN"/>
              </w:rPr>
            </w:pPr>
          </w:p>
        </w:tc>
        <w:tc>
          <w:tcPr>
            <w:tcW w:w="1945" w:type="dxa"/>
            <w:vMerge w:val="continue"/>
            <w:vAlign w:val="center"/>
          </w:tcPr>
          <w:p w14:paraId="1DD0CB4F">
            <w:pPr>
              <w:pStyle w:val="2"/>
              <w:jc w:val="center"/>
              <w:rPr>
                <w:rFonts w:hint="eastAsia" w:ascii="宋体" w:hAnsi="宋体" w:eastAsia="宋体" w:cs="宋体"/>
                <w:sz w:val="24"/>
                <w:szCs w:val="24"/>
                <w:vertAlign w:val="baseline"/>
                <w:lang w:val="en-US" w:eastAsia="zh-CN"/>
              </w:rPr>
            </w:pPr>
          </w:p>
        </w:tc>
      </w:tr>
      <w:tr w14:paraId="6D70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98" w:type="dxa"/>
            <w:vAlign w:val="center"/>
          </w:tcPr>
          <w:p w14:paraId="11893FF5">
            <w:pPr>
              <w:pStyle w:val="2"/>
              <w:jc w:val="center"/>
              <w:rPr>
                <w:rFonts w:hint="eastAsia" w:ascii="宋体" w:hAnsi="宋体" w:eastAsia="宋体" w:cs="宋体"/>
                <w:sz w:val="24"/>
                <w:szCs w:val="24"/>
                <w:vertAlign w:val="baseline"/>
                <w:lang w:val="en-US" w:eastAsia="zh-CN"/>
              </w:rPr>
            </w:pPr>
          </w:p>
        </w:tc>
        <w:tc>
          <w:tcPr>
            <w:tcW w:w="3613" w:type="dxa"/>
            <w:vAlign w:val="center"/>
          </w:tcPr>
          <w:p w14:paraId="73631894">
            <w:pPr>
              <w:pStyle w:val="2"/>
              <w:jc w:val="center"/>
              <w:rPr>
                <w:rFonts w:hint="eastAsia" w:ascii="宋体" w:hAnsi="宋体" w:eastAsia="宋体" w:cs="宋体"/>
                <w:sz w:val="24"/>
                <w:szCs w:val="24"/>
                <w:vertAlign w:val="baseline"/>
                <w:lang w:val="en-US" w:eastAsia="zh-CN"/>
              </w:rPr>
            </w:pPr>
          </w:p>
        </w:tc>
        <w:tc>
          <w:tcPr>
            <w:tcW w:w="1000" w:type="dxa"/>
            <w:vAlign w:val="center"/>
          </w:tcPr>
          <w:p w14:paraId="260A22F4">
            <w:pPr>
              <w:pStyle w:val="2"/>
              <w:jc w:val="center"/>
              <w:rPr>
                <w:rFonts w:hint="eastAsia" w:ascii="宋体" w:hAnsi="宋体" w:eastAsia="宋体" w:cs="宋体"/>
                <w:sz w:val="24"/>
                <w:szCs w:val="24"/>
                <w:vertAlign w:val="baseline"/>
                <w:lang w:val="en-US" w:eastAsia="zh-CN"/>
              </w:rPr>
            </w:pPr>
          </w:p>
        </w:tc>
        <w:tc>
          <w:tcPr>
            <w:tcW w:w="1982" w:type="dxa"/>
            <w:vAlign w:val="center"/>
          </w:tcPr>
          <w:p w14:paraId="11FB5C06">
            <w:pPr>
              <w:pStyle w:val="2"/>
              <w:jc w:val="center"/>
              <w:rPr>
                <w:rFonts w:hint="eastAsia" w:ascii="宋体" w:hAnsi="宋体" w:eastAsia="宋体" w:cs="宋体"/>
                <w:sz w:val="24"/>
                <w:szCs w:val="24"/>
                <w:vertAlign w:val="baseline"/>
                <w:lang w:val="en-US" w:eastAsia="zh-CN"/>
              </w:rPr>
            </w:pPr>
          </w:p>
        </w:tc>
        <w:tc>
          <w:tcPr>
            <w:tcW w:w="1945" w:type="dxa"/>
            <w:vMerge w:val="continue"/>
            <w:vAlign w:val="center"/>
          </w:tcPr>
          <w:p w14:paraId="37A751CE">
            <w:pPr>
              <w:pStyle w:val="2"/>
              <w:jc w:val="center"/>
              <w:rPr>
                <w:rFonts w:hint="eastAsia" w:ascii="宋体" w:hAnsi="宋体" w:eastAsia="宋体" w:cs="宋体"/>
                <w:sz w:val="24"/>
                <w:szCs w:val="24"/>
                <w:vertAlign w:val="baseline"/>
                <w:lang w:val="en-US" w:eastAsia="zh-CN"/>
              </w:rPr>
            </w:pPr>
          </w:p>
        </w:tc>
      </w:tr>
      <w:tr w14:paraId="07C4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98" w:type="dxa"/>
            <w:vAlign w:val="center"/>
          </w:tcPr>
          <w:p w14:paraId="3FB6A7E3">
            <w:pPr>
              <w:pStyle w:val="2"/>
              <w:jc w:val="center"/>
              <w:rPr>
                <w:rFonts w:hint="eastAsia" w:ascii="宋体" w:hAnsi="宋体" w:eastAsia="宋体" w:cs="宋体"/>
                <w:sz w:val="24"/>
                <w:szCs w:val="24"/>
                <w:vertAlign w:val="baseline"/>
                <w:lang w:val="en-US" w:eastAsia="zh-CN"/>
              </w:rPr>
            </w:pPr>
          </w:p>
        </w:tc>
        <w:tc>
          <w:tcPr>
            <w:tcW w:w="3613" w:type="dxa"/>
            <w:vAlign w:val="center"/>
          </w:tcPr>
          <w:p w14:paraId="06DE30F4">
            <w:pPr>
              <w:pStyle w:val="2"/>
              <w:jc w:val="center"/>
              <w:rPr>
                <w:rFonts w:hint="eastAsia" w:ascii="宋体" w:hAnsi="宋体" w:eastAsia="宋体" w:cs="宋体"/>
                <w:sz w:val="24"/>
                <w:szCs w:val="24"/>
                <w:vertAlign w:val="baseline"/>
                <w:lang w:val="en-US" w:eastAsia="zh-CN"/>
              </w:rPr>
            </w:pPr>
          </w:p>
        </w:tc>
        <w:tc>
          <w:tcPr>
            <w:tcW w:w="1000" w:type="dxa"/>
            <w:vAlign w:val="center"/>
          </w:tcPr>
          <w:p w14:paraId="67910E21">
            <w:pPr>
              <w:pStyle w:val="2"/>
              <w:jc w:val="center"/>
              <w:rPr>
                <w:rFonts w:hint="eastAsia" w:ascii="宋体" w:hAnsi="宋体" w:eastAsia="宋体" w:cs="宋体"/>
                <w:sz w:val="24"/>
                <w:szCs w:val="24"/>
                <w:vertAlign w:val="baseline"/>
                <w:lang w:val="en-US" w:eastAsia="zh-CN"/>
              </w:rPr>
            </w:pPr>
          </w:p>
        </w:tc>
        <w:tc>
          <w:tcPr>
            <w:tcW w:w="1982" w:type="dxa"/>
            <w:vAlign w:val="center"/>
          </w:tcPr>
          <w:p w14:paraId="5727FC41">
            <w:pPr>
              <w:pStyle w:val="2"/>
              <w:jc w:val="center"/>
              <w:rPr>
                <w:rFonts w:hint="eastAsia" w:ascii="宋体" w:hAnsi="宋体" w:eastAsia="宋体" w:cs="宋体"/>
                <w:sz w:val="24"/>
                <w:szCs w:val="24"/>
                <w:vertAlign w:val="baseline"/>
                <w:lang w:val="en-US" w:eastAsia="zh-CN"/>
              </w:rPr>
            </w:pPr>
          </w:p>
        </w:tc>
        <w:tc>
          <w:tcPr>
            <w:tcW w:w="1945" w:type="dxa"/>
            <w:vMerge w:val="continue"/>
            <w:vAlign w:val="center"/>
          </w:tcPr>
          <w:p w14:paraId="7DCC05E7">
            <w:pPr>
              <w:pStyle w:val="2"/>
              <w:jc w:val="center"/>
              <w:rPr>
                <w:rFonts w:hint="eastAsia" w:ascii="宋体" w:hAnsi="宋体" w:eastAsia="宋体" w:cs="宋体"/>
                <w:sz w:val="24"/>
                <w:szCs w:val="24"/>
                <w:vertAlign w:val="baseline"/>
                <w:lang w:val="en-US" w:eastAsia="zh-CN"/>
              </w:rPr>
            </w:pPr>
          </w:p>
        </w:tc>
      </w:tr>
    </w:tbl>
    <w:p w14:paraId="1DBC09F1">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eastAsia="宋体" w:cs="宋体"/>
          <w:b/>
          <w:bCs/>
          <w:color w:val="333333"/>
          <w:sz w:val="24"/>
          <w:szCs w:val="24"/>
          <w:lang w:val="en-US" w:eastAsia="zh-CN"/>
        </w:rPr>
      </w:pPr>
      <w:r>
        <w:rPr>
          <w:rFonts w:hint="eastAsia" w:ascii="宋体" w:hAnsi="宋体" w:eastAsia="宋体" w:cs="宋体"/>
          <w:b/>
          <w:bCs/>
          <w:color w:val="333333"/>
          <w:sz w:val="24"/>
          <w:szCs w:val="24"/>
          <w:lang w:val="en-US" w:eastAsia="zh-CN"/>
        </w:rPr>
        <w:t>说明：</w:t>
      </w:r>
    </w:p>
    <w:p w14:paraId="5C678907">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333333"/>
          <w:sz w:val="24"/>
          <w:szCs w:val="24"/>
          <w:lang w:val="en-US" w:eastAsia="zh-CN"/>
        </w:rPr>
      </w:pPr>
      <w:r>
        <w:rPr>
          <w:rFonts w:hint="eastAsia" w:ascii="宋体" w:hAnsi="宋体" w:eastAsia="宋体" w:cs="宋体"/>
          <w:b/>
          <w:bCs/>
          <w:color w:val="333333"/>
          <w:sz w:val="24"/>
          <w:szCs w:val="24"/>
          <w:lang w:val="en-US" w:eastAsia="zh-CN"/>
        </w:rPr>
        <w:t>1.该价格包括货物的生产制造、检验、出成品、包装、保险、增值税、管理费用、装卸、运杂费及售后服务等全部费用；</w:t>
      </w:r>
    </w:p>
    <w:p w14:paraId="5E668AD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333333"/>
          <w:sz w:val="24"/>
          <w:szCs w:val="24"/>
          <w:lang w:val="en-US" w:eastAsia="zh-CN"/>
        </w:rPr>
      </w:pPr>
      <w:r>
        <w:rPr>
          <w:rFonts w:hint="eastAsia" w:ascii="宋体" w:hAnsi="宋体" w:eastAsia="宋体" w:cs="宋体"/>
          <w:b/>
          <w:bCs/>
          <w:color w:val="333333"/>
          <w:sz w:val="24"/>
          <w:szCs w:val="24"/>
          <w:lang w:val="en-US" w:eastAsia="zh-CN"/>
        </w:rPr>
        <w:t>2.如果不提供详细的分项报价表将被视为没有实质性响应采购文件；</w:t>
      </w:r>
    </w:p>
    <w:p w14:paraId="5628244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333333"/>
          <w:sz w:val="24"/>
          <w:szCs w:val="24"/>
          <w:lang w:val="en-US" w:eastAsia="zh-CN"/>
        </w:rPr>
      </w:pPr>
      <w:r>
        <w:rPr>
          <w:rFonts w:hint="eastAsia" w:ascii="宋体" w:hAnsi="宋体" w:eastAsia="宋体" w:cs="宋体"/>
          <w:b/>
          <w:bCs/>
          <w:color w:val="333333"/>
          <w:sz w:val="24"/>
          <w:szCs w:val="24"/>
          <w:lang w:val="en-US" w:eastAsia="zh-CN"/>
        </w:rPr>
        <w:t>3.分项报价表与首轮报价表单价统一下浮率要一致，否则视为无效投标。</w:t>
      </w:r>
    </w:p>
    <w:p w14:paraId="34301784">
      <w:pPr>
        <w:pStyle w:val="2"/>
        <w:rPr>
          <w:rFonts w:hint="eastAsia"/>
        </w:rPr>
      </w:pPr>
    </w:p>
    <w:p w14:paraId="491C90E6">
      <w:pPr>
        <w:adjustRightInd w:val="0"/>
        <w:snapToGrid w:val="0"/>
        <w:spacing w:line="360" w:lineRule="auto"/>
        <w:ind w:firstLine="480" w:firstLineChars="200"/>
        <w:rPr>
          <w:rFonts w:hint="eastAsia" w:ascii="宋体" w:hAnsi="宋体" w:eastAsia="宋体" w:cs="宋体"/>
          <w:sz w:val="24"/>
          <w:szCs w:val="24"/>
        </w:rPr>
      </w:pPr>
    </w:p>
    <w:p w14:paraId="4DAB444D">
      <w:pPr>
        <w:adjustRightInd w:val="0"/>
        <w:snapToGrid w:val="0"/>
        <w:spacing w:line="360" w:lineRule="auto"/>
        <w:ind w:firstLine="480" w:firstLineChars="200"/>
        <w:rPr>
          <w:rFonts w:hint="eastAsia" w:ascii="宋体" w:hAnsi="宋体" w:eastAsia="宋体" w:cs="宋体"/>
          <w:sz w:val="24"/>
          <w:szCs w:val="24"/>
        </w:rPr>
      </w:pPr>
    </w:p>
    <w:p w14:paraId="4351DDB9">
      <w:pPr>
        <w:adjustRightInd w:val="0"/>
        <w:snapToGrid w:val="0"/>
        <w:spacing w:line="360" w:lineRule="auto"/>
        <w:ind w:firstLine="480" w:firstLineChars="200"/>
        <w:rPr>
          <w:rFonts w:hint="eastAsia" w:ascii="宋体" w:hAnsi="宋体" w:eastAsia="宋体" w:cs="宋体"/>
          <w:sz w:val="24"/>
          <w:szCs w:val="24"/>
        </w:rPr>
      </w:pPr>
    </w:p>
    <w:p w14:paraId="4349FF4A">
      <w:pPr>
        <w:adjustRightInd w:val="0"/>
        <w:snapToGrid w:val="0"/>
        <w:spacing w:line="360" w:lineRule="auto"/>
        <w:ind w:firstLine="480" w:firstLineChars="200"/>
        <w:rPr>
          <w:rFonts w:hint="eastAsia" w:ascii="宋体" w:hAnsi="宋体" w:eastAsia="宋体" w:cs="宋体"/>
          <w:sz w:val="24"/>
          <w:szCs w:val="24"/>
        </w:rPr>
      </w:pPr>
    </w:p>
    <w:p w14:paraId="5B164F9A">
      <w:pPr>
        <w:adjustRightInd w:val="0"/>
        <w:snapToGrid w:val="0"/>
        <w:spacing w:line="360" w:lineRule="auto"/>
        <w:ind w:firstLine="480" w:firstLineChars="200"/>
        <w:rPr>
          <w:rFonts w:hint="eastAsia" w:ascii="宋体" w:hAnsi="宋体" w:eastAsia="宋体" w:cs="宋体"/>
          <w:sz w:val="24"/>
          <w:szCs w:val="24"/>
        </w:rPr>
      </w:pPr>
    </w:p>
    <w:p w14:paraId="1608FD9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四</w:t>
      </w:r>
    </w:p>
    <w:p w14:paraId="5EACE0A7">
      <w:pPr>
        <w:adjustRightInd w:val="0"/>
        <w:snapToGrid w:val="0"/>
        <w:spacing w:line="360" w:lineRule="auto"/>
        <w:ind w:left="-88" w:leftChars="-42" w:firstLine="482" w:firstLineChars="200"/>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val="zh-CN"/>
        </w:rPr>
        <w:t>）法定代表人身份证明</w:t>
      </w:r>
      <w:r>
        <w:rPr>
          <w:rFonts w:hint="eastAsia" w:ascii="宋体" w:hAnsi="宋体" w:eastAsia="宋体" w:cs="宋体"/>
          <w:b/>
          <w:bCs w:val="0"/>
          <w:sz w:val="24"/>
          <w:szCs w:val="24"/>
          <w:lang w:val="en-US" w:eastAsia="zh-CN"/>
        </w:rPr>
        <w:t>书</w:t>
      </w:r>
    </w:p>
    <w:p w14:paraId="2A75820B">
      <w:pPr>
        <w:spacing w:line="500" w:lineRule="exact"/>
        <w:rPr>
          <w:rFonts w:hint="eastAsia" w:ascii="宋体" w:hAnsi="宋体" w:eastAsia="宋体" w:cs="宋体"/>
          <w:sz w:val="24"/>
          <w:szCs w:val="24"/>
        </w:rPr>
      </w:pPr>
    </w:p>
    <w:p w14:paraId="510C7B2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申 请 人：</w:t>
      </w:r>
      <w:r>
        <w:rPr>
          <w:rFonts w:hint="eastAsia" w:ascii="宋体" w:hAnsi="宋体" w:eastAsia="宋体" w:cs="宋体"/>
          <w:color w:val="333333"/>
          <w:sz w:val="24"/>
          <w:szCs w:val="24"/>
          <w:u w:val="single"/>
        </w:rPr>
        <w:t xml:space="preserve">                                                       </w:t>
      </w:r>
    </w:p>
    <w:p w14:paraId="533D4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64446A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0241FA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50D85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078F5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66ACFE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（申请人名称）的法定代表人。</w:t>
      </w:r>
    </w:p>
    <w:p w14:paraId="5EB6B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特此证明。</w:t>
      </w:r>
    </w:p>
    <w:p w14:paraId="39E7A486">
      <w:pPr>
        <w:spacing w:line="500" w:lineRule="exact"/>
        <w:rPr>
          <w:rFonts w:hint="eastAsia" w:ascii="宋体" w:hAnsi="宋体" w:eastAsia="宋体" w:cs="宋体"/>
          <w:color w:val="333333"/>
          <w:sz w:val="24"/>
          <w:szCs w:val="24"/>
        </w:rPr>
      </w:pPr>
    </w:p>
    <w:tbl>
      <w:tblPr>
        <w:tblStyle w:val="1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6ED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jc w:val="center"/>
        </w:trPr>
        <w:tc>
          <w:tcPr>
            <w:tcW w:w="8440" w:type="dxa"/>
            <w:noWrap w:val="0"/>
            <w:vAlign w:val="center"/>
          </w:tcPr>
          <w:p w14:paraId="4CA8FC3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粘贴法人身份证（复印件）</w:t>
            </w:r>
          </w:p>
        </w:tc>
      </w:tr>
    </w:tbl>
    <w:p w14:paraId="6D86C47E">
      <w:pPr>
        <w:spacing w:line="500" w:lineRule="exact"/>
        <w:rPr>
          <w:rFonts w:hint="eastAsia" w:ascii="宋体" w:hAnsi="宋体" w:eastAsia="宋体" w:cs="宋体"/>
          <w:sz w:val="24"/>
          <w:szCs w:val="24"/>
        </w:rPr>
      </w:pPr>
    </w:p>
    <w:p w14:paraId="6A5EA7F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lang w:val="zh-CN"/>
        </w:rPr>
        <w:t>法定代表人（签字或盖章）</w:t>
      </w:r>
      <w:r>
        <w:rPr>
          <w:rFonts w:hint="eastAsia" w:ascii="宋体" w:hAnsi="宋体" w:eastAsia="宋体" w:cs="宋体"/>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747596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252F06B">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3F2DCA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p>
    <w:p w14:paraId="6C54B2B3">
      <w:pPr>
        <w:pStyle w:val="23"/>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FF0000"/>
          <w:kern w:val="2"/>
          <w:sz w:val="24"/>
          <w:szCs w:val="24"/>
          <w:shd w:val="pct10" w:color="auto" w:fill="FFFFFF"/>
        </w:rPr>
      </w:pPr>
      <w:r>
        <w:rPr>
          <w:rFonts w:hint="eastAsia" w:ascii="宋体" w:hAnsi="宋体" w:eastAsia="宋体" w:cs="宋体"/>
          <w:b/>
          <w:bCs/>
          <w:kern w:val="2"/>
          <w:sz w:val="24"/>
          <w:szCs w:val="24"/>
          <w:lang w:val="en-US" w:eastAsia="zh-CN" w:bidi="ar-SA"/>
        </w:rPr>
        <w:t>说明：此证明文件除保留在响应文件中外，还需另附一份与法人身份证原件一起递交。（若是法定代表人参加谈判的，仅提供此证明文件，无需提供法人代表授权书）</w:t>
      </w:r>
    </w:p>
    <w:p w14:paraId="65FF0B98">
      <w:pPr>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br w:type="page"/>
      </w:r>
    </w:p>
    <w:p w14:paraId="30406BFC">
      <w:pPr>
        <w:adjustRightInd w:val="0"/>
        <w:snapToGrid w:val="0"/>
        <w:spacing w:line="360" w:lineRule="auto"/>
        <w:ind w:left="-88" w:leftChars="-42" w:firstLine="482" w:firstLineChars="200"/>
        <w:jc w:val="center"/>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zh-CN" w:eastAsia="zh-CN"/>
        </w:rPr>
        <w:t>法人（负责人）代表授权书</w:t>
      </w:r>
    </w:p>
    <w:p w14:paraId="2DFB1F1B">
      <w:pPr>
        <w:adjustRightInd w:val="0"/>
        <w:snapToGrid w:val="0"/>
        <w:spacing w:line="360" w:lineRule="auto"/>
        <w:rPr>
          <w:rFonts w:hint="eastAsia" w:ascii="宋体" w:hAnsi="宋体" w:eastAsia="宋体" w:cs="宋体"/>
          <w:bCs/>
          <w:color w:val="000000" w:themeColor="text1"/>
          <w:sz w:val="24"/>
          <w:szCs w:val="24"/>
        </w:rPr>
      </w:pPr>
    </w:p>
    <w:p w14:paraId="0C4D6411">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（政府采购代理机构）：</w:t>
      </w:r>
    </w:p>
    <w:p w14:paraId="6C26254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谈判供应商名称）在下面签字的（法定代表人姓名）代表本公司授权（供应商名称）在下面签字的（被授权代表的姓名）为本公司的合法代理人，就（项目名称、项目编号）的竞争性谈判活动，以本公司的名义处理一切与之有关的事务。</w:t>
      </w:r>
    </w:p>
    <w:p w14:paraId="14425422">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本授权书自</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年</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月</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日至</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年</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月</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日止签字有效。</w:t>
      </w:r>
    </w:p>
    <w:p w14:paraId="1B52070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特此声明。</w:t>
      </w:r>
    </w:p>
    <w:p w14:paraId="20C9EE87">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p>
    <w:p w14:paraId="4056EE0E">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委托人名称（公章）：</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被授权人（签字）：</w:t>
      </w:r>
    </w:p>
    <w:p w14:paraId="77B1DB4F">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法定（负责人）代表人（签字）：</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身份证号码：</w:t>
      </w:r>
    </w:p>
    <w:p w14:paraId="13F90D95">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电话：</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电话：</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7C5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8522" w:type="dxa"/>
            <w:vAlign w:val="center"/>
          </w:tcPr>
          <w:p w14:paraId="6C56A1D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粘贴法定代表人身份证和被授权人身份证（复印件）</w:t>
            </w:r>
          </w:p>
        </w:tc>
      </w:tr>
    </w:tbl>
    <w:p w14:paraId="4330D56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p>
    <w:p w14:paraId="796FC8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zh-CN" w:eastAsia="zh-CN" w:bidi="ar-SA"/>
        </w:rPr>
        <w:t>说明：此授权委托书除保留在响应文件中外，还需另附一份与被授权人身份证原件一起递交。（若是授权人参加谈判，仅提供此授权书，无需提供法定代表人身份证明）</w:t>
      </w:r>
    </w:p>
    <w:p w14:paraId="1F8AFE6A">
      <w:pPr>
        <w:rPr>
          <w:rFonts w:hint="eastAsia" w:ascii="宋体" w:hAnsi="宋体" w:eastAsia="宋体" w:cs="宋体"/>
          <w:sz w:val="24"/>
          <w:szCs w:val="24"/>
        </w:rPr>
      </w:pPr>
      <w:r>
        <w:rPr>
          <w:rFonts w:hint="eastAsia" w:ascii="宋体" w:hAnsi="宋体" w:eastAsia="宋体" w:cs="宋体"/>
          <w:sz w:val="24"/>
          <w:szCs w:val="24"/>
        </w:rPr>
        <w:br w:type="page"/>
      </w:r>
    </w:p>
    <w:p w14:paraId="2876D1F3">
      <w:pPr>
        <w:widowControl/>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五</w:t>
      </w:r>
    </w:p>
    <w:p w14:paraId="00066731">
      <w:pPr>
        <w:adjustRightInd w:val="0"/>
        <w:snapToGrid w:val="0"/>
        <w:spacing w:line="360" w:lineRule="auto"/>
        <w:ind w:left="-88" w:leftChars="-42" w:firstLine="482" w:firstLineChars="200"/>
        <w:jc w:val="center"/>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eastAsia="zh-CN"/>
        </w:rPr>
        <w:t>法人或者其他组织的营业执照等证明文件</w:t>
      </w:r>
    </w:p>
    <w:p w14:paraId="2AE2D254">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（营业执照、法人身份证等）</w:t>
      </w:r>
    </w:p>
    <w:p w14:paraId="49736878">
      <w:pPr>
        <w:rPr>
          <w:rFonts w:hint="eastAsia" w:ascii="宋体" w:hAnsi="宋体" w:eastAsia="宋体" w:cs="宋体"/>
          <w:sz w:val="24"/>
          <w:szCs w:val="24"/>
        </w:rPr>
      </w:pPr>
      <w:r>
        <w:rPr>
          <w:rFonts w:hint="eastAsia" w:ascii="宋体" w:hAnsi="宋体" w:eastAsia="宋体" w:cs="宋体"/>
          <w:sz w:val="24"/>
          <w:szCs w:val="24"/>
        </w:rPr>
        <w:br w:type="page"/>
      </w:r>
    </w:p>
    <w:p w14:paraId="01E16732">
      <w:pPr>
        <w:widowControl/>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六</w:t>
      </w:r>
    </w:p>
    <w:p w14:paraId="6858D3AE">
      <w:pPr>
        <w:adjustRightInd w:val="0"/>
        <w:snapToGrid w:val="0"/>
        <w:spacing w:line="360" w:lineRule="auto"/>
        <w:jc w:val="center"/>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eastAsia="zh-CN"/>
        </w:rPr>
        <w:t>相关</w:t>
      </w:r>
      <w:r>
        <w:rPr>
          <w:rFonts w:hint="eastAsia" w:ascii="宋体" w:hAnsi="宋体" w:eastAsia="宋体" w:cs="宋体"/>
          <w:b/>
          <w:bCs w:val="0"/>
          <w:sz w:val="24"/>
          <w:szCs w:val="24"/>
          <w:lang w:val="en-US" w:eastAsia="zh-CN"/>
        </w:rPr>
        <w:t>方案、</w:t>
      </w:r>
      <w:r>
        <w:rPr>
          <w:rFonts w:hint="eastAsia" w:ascii="宋体" w:hAnsi="宋体" w:eastAsia="宋体" w:cs="宋体"/>
          <w:b/>
          <w:bCs w:val="0"/>
          <w:sz w:val="24"/>
          <w:szCs w:val="24"/>
          <w:lang w:val="zh-CN" w:eastAsia="zh-CN"/>
        </w:rPr>
        <w:t>措施、承诺</w:t>
      </w:r>
    </w:p>
    <w:p w14:paraId="6031AD2F">
      <w:pPr>
        <w:jc w:val="center"/>
        <w:rPr>
          <w:rFonts w:hint="eastAsia" w:ascii="宋体" w:hAnsi="宋体" w:eastAsia="宋体" w:cs="宋体"/>
          <w:bCs/>
          <w:color w:val="000000" w:themeColor="text1"/>
          <w:sz w:val="24"/>
          <w:szCs w:val="24"/>
        </w:rPr>
      </w:pPr>
      <w:r>
        <w:rPr>
          <w:rFonts w:hint="eastAsia" w:ascii="宋体" w:hAnsi="宋体" w:eastAsia="宋体" w:cs="宋体"/>
          <w:sz w:val="24"/>
          <w:szCs w:val="24"/>
        </w:rPr>
        <w:t>（供应商自行编写并加盖单位公章）</w:t>
      </w:r>
    </w:p>
    <w:p w14:paraId="1416357F">
      <w:pPr>
        <w:pStyle w:val="2"/>
        <w:rPr>
          <w:rFonts w:hint="eastAsia" w:ascii="宋体" w:hAnsi="宋体" w:eastAsia="宋体" w:cs="宋体"/>
          <w:sz w:val="24"/>
          <w:szCs w:val="24"/>
          <w:lang w:val="en-US" w:eastAsia="zh-CN"/>
        </w:rPr>
      </w:pPr>
    </w:p>
    <w:p w14:paraId="271EBAE2">
      <w:pPr>
        <w:widowControl/>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1.履约保障措施（需明确按时、按质、按量履约的具体保障机制）</w:t>
      </w:r>
    </w:p>
    <w:p w14:paraId="716B0A05">
      <w:pPr>
        <w:widowControl/>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2.质量保证承诺</w:t>
      </w:r>
    </w:p>
    <w:p w14:paraId="44A1F33D">
      <w:pPr>
        <w:widowControl/>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3.售后服务与应急响应方案</w:t>
      </w:r>
    </w:p>
    <w:p w14:paraId="33FEF719">
      <w:pPr>
        <w:widowControl/>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4.其他服务承诺</w:t>
      </w:r>
    </w:p>
    <w:p w14:paraId="009A1953">
      <w:pPr>
        <w:rPr>
          <w:rFonts w:hint="eastAsia" w:ascii="宋体" w:hAnsi="宋体" w:eastAsia="宋体" w:cs="宋体"/>
          <w:sz w:val="24"/>
          <w:szCs w:val="24"/>
        </w:rPr>
      </w:pPr>
    </w:p>
    <w:p w14:paraId="47BF02AC">
      <w:pPr>
        <w:jc w:val="center"/>
        <w:rPr>
          <w:rFonts w:hint="eastAsia" w:ascii="宋体" w:hAnsi="宋体" w:eastAsia="宋体" w:cs="宋体"/>
          <w:bCs/>
          <w:color w:val="000000" w:themeColor="text1"/>
          <w:sz w:val="24"/>
          <w:szCs w:val="24"/>
        </w:rPr>
      </w:pPr>
    </w:p>
    <w:p w14:paraId="5AAB49ED">
      <w:pPr>
        <w:widowControl/>
        <w:spacing w:line="360" w:lineRule="auto"/>
        <w:ind w:firstLine="480" w:firstLineChars="200"/>
        <w:rPr>
          <w:rFonts w:hint="eastAsia" w:ascii="宋体" w:hAnsi="宋体" w:eastAsia="宋体" w:cs="宋体"/>
          <w:sz w:val="24"/>
          <w:szCs w:val="24"/>
        </w:rPr>
      </w:pPr>
    </w:p>
    <w:p w14:paraId="05F0D985">
      <w:pPr>
        <w:widowControl/>
        <w:spacing w:line="360" w:lineRule="auto"/>
        <w:ind w:firstLine="480" w:firstLineChars="200"/>
        <w:rPr>
          <w:rFonts w:hint="eastAsia" w:ascii="宋体" w:hAnsi="宋体" w:eastAsia="宋体" w:cs="宋体"/>
          <w:sz w:val="24"/>
          <w:szCs w:val="24"/>
        </w:rPr>
      </w:pPr>
    </w:p>
    <w:p w14:paraId="58A6BE65">
      <w:pPr>
        <w:widowControl/>
        <w:spacing w:line="360" w:lineRule="auto"/>
        <w:ind w:firstLine="480" w:firstLineChars="200"/>
        <w:rPr>
          <w:rFonts w:hint="eastAsia" w:ascii="宋体" w:hAnsi="宋体" w:eastAsia="宋体" w:cs="宋体"/>
          <w:sz w:val="24"/>
          <w:szCs w:val="24"/>
        </w:rPr>
      </w:pPr>
    </w:p>
    <w:p w14:paraId="7269AB5F">
      <w:pPr>
        <w:widowControl/>
        <w:spacing w:line="360" w:lineRule="auto"/>
        <w:ind w:firstLine="480" w:firstLineChars="200"/>
        <w:rPr>
          <w:rFonts w:hint="eastAsia" w:ascii="宋体" w:hAnsi="宋体" w:eastAsia="宋体" w:cs="宋体"/>
          <w:sz w:val="24"/>
          <w:szCs w:val="24"/>
        </w:rPr>
      </w:pPr>
    </w:p>
    <w:p w14:paraId="4DE53497">
      <w:pPr>
        <w:widowControl/>
        <w:spacing w:line="360" w:lineRule="auto"/>
        <w:ind w:firstLine="480" w:firstLineChars="200"/>
        <w:rPr>
          <w:rFonts w:hint="eastAsia" w:ascii="宋体" w:hAnsi="宋体" w:eastAsia="宋体" w:cs="宋体"/>
          <w:sz w:val="24"/>
          <w:szCs w:val="24"/>
        </w:rPr>
      </w:pPr>
    </w:p>
    <w:p w14:paraId="48B9B456">
      <w:pPr>
        <w:pStyle w:val="22"/>
        <w:ind w:firstLine="480"/>
        <w:rPr>
          <w:rFonts w:hint="eastAsia" w:ascii="宋体" w:hAnsi="宋体" w:eastAsia="宋体" w:cs="宋体"/>
          <w:sz w:val="24"/>
          <w:szCs w:val="24"/>
        </w:rPr>
      </w:pPr>
    </w:p>
    <w:p w14:paraId="031D6A06">
      <w:pPr>
        <w:widowControl/>
        <w:spacing w:line="360" w:lineRule="auto"/>
        <w:ind w:firstLine="480" w:firstLineChars="200"/>
        <w:rPr>
          <w:rFonts w:hint="eastAsia" w:ascii="宋体" w:hAnsi="宋体" w:eastAsia="宋体" w:cs="宋体"/>
          <w:sz w:val="24"/>
          <w:szCs w:val="24"/>
        </w:rPr>
      </w:pPr>
    </w:p>
    <w:p w14:paraId="2582DCBC">
      <w:pPr>
        <w:widowControl/>
        <w:spacing w:line="360" w:lineRule="auto"/>
        <w:ind w:firstLine="480" w:firstLineChars="200"/>
        <w:rPr>
          <w:rFonts w:hint="eastAsia" w:ascii="宋体" w:hAnsi="宋体" w:eastAsia="宋体" w:cs="宋体"/>
          <w:sz w:val="24"/>
          <w:szCs w:val="24"/>
        </w:rPr>
      </w:pPr>
    </w:p>
    <w:p w14:paraId="5047B924">
      <w:pPr>
        <w:widowControl/>
        <w:spacing w:line="360" w:lineRule="auto"/>
        <w:ind w:firstLine="480" w:firstLineChars="200"/>
        <w:rPr>
          <w:rFonts w:hint="eastAsia" w:ascii="宋体" w:hAnsi="宋体" w:eastAsia="宋体" w:cs="宋体"/>
          <w:sz w:val="24"/>
          <w:szCs w:val="24"/>
        </w:rPr>
      </w:pPr>
    </w:p>
    <w:p w14:paraId="3FDFE772">
      <w:pPr>
        <w:widowControl/>
        <w:spacing w:line="360" w:lineRule="auto"/>
        <w:ind w:firstLine="480" w:firstLineChars="200"/>
        <w:rPr>
          <w:rFonts w:hint="eastAsia" w:ascii="宋体" w:hAnsi="宋体" w:eastAsia="宋体" w:cs="宋体"/>
          <w:sz w:val="24"/>
          <w:szCs w:val="24"/>
        </w:rPr>
      </w:pPr>
    </w:p>
    <w:p w14:paraId="4519E4E8">
      <w:pPr>
        <w:widowControl/>
        <w:spacing w:line="360" w:lineRule="auto"/>
        <w:ind w:firstLine="480" w:firstLineChars="200"/>
        <w:rPr>
          <w:rFonts w:hint="eastAsia" w:ascii="宋体" w:hAnsi="宋体" w:eastAsia="宋体" w:cs="宋体"/>
          <w:sz w:val="24"/>
          <w:szCs w:val="24"/>
        </w:rPr>
      </w:pPr>
    </w:p>
    <w:p w14:paraId="504C07D4">
      <w:pPr>
        <w:widowControl/>
        <w:spacing w:line="360" w:lineRule="auto"/>
        <w:ind w:firstLine="480" w:firstLineChars="200"/>
        <w:rPr>
          <w:rFonts w:hint="eastAsia" w:ascii="宋体" w:hAnsi="宋体" w:eastAsia="宋体" w:cs="宋体"/>
          <w:sz w:val="24"/>
          <w:szCs w:val="24"/>
        </w:rPr>
      </w:pPr>
    </w:p>
    <w:p w14:paraId="19AF9F15">
      <w:pPr>
        <w:widowControl/>
        <w:spacing w:line="360" w:lineRule="auto"/>
        <w:ind w:firstLine="480" w:firstLineChars="200"/>
        <w:rPr>
          <w:rFonts w:hint="eastAsia" w:ascii="宋体" w:hAnsi="宋体" w:eastAsia="宋体" w:cs="宋体"/>
          <w:sz w:val="24"/>
          <w:szCs w:val="24"/>
        </w:rPr>
      </w:pPr>
    </w:p>
    <w:p w14:paraId="5C4FFA7B">
      <w:pPr>
        <w:widowControl/>
        <w:spacing w:line="360" w:lineRule="auto"/>
        <w:ind w:firstLine="480" w:firstLineChars="200"/>
        <w:rPr>
          <w:rFonts w:hint="eastAsia" w:ascii="宋体" w:hAnsi="宋体" w:eastAsia="宋体" w:cs="宋体"/>
          <w:sz w:val="24"/>
          <w:szCs w:val="24"/>
        </w:rPr>
      </w:pPr>
    </w:p>
    <w:p w14:paraId="4D636D38">
      <w:pPr>
        <w:widowControl/>
        <w:spacing w:line="360" w:lineRule="auto"/>
        <w:ind w:firstLine="480" w:firstLineChars="200"/>
        <w:rPr>
          <w:rFonts w:hint="eastAsia" w:ascii="宋体" w:hAnsi="宋体" w:eastAsia="宋体" w:cs="宋体"/>
          <w:sz w:val="24"/>
          <w:szCs w:val="24"/>
        </w:rPr>
      </w:pPr>
    </w:p>
    <w:p w14:paraId="1475AA98">
      <w:pPr>
        <w:pStyle w:val="6"/>
        <w:rPr>
          <w:rFonts w:hint="eastAsia" w:ascii="宋体" w:hAnsi="宋体" w:eastAsia="宋体" w:cs="宋体"/>
          <w:sz w:val="24"/>
          <w:szCs w:val="24"/>
        </w:rPr>
      </w:pPr>
    </w:p>
    <w:p w14:paraId="5E956C13">
      <w:pPr>
        <w:rPr>
          <w:rFonts w:hint="eastAsia" w:ascii="宋体" w:hAnsi="宋体" w:eastAsia="宋体" w:cs="宋体"/>
          <w:sz w:val="24"/>
          <w:szCs w:val="24"/>
        </w:rPr>
      </w:pPr>
    </w:p>
    <w:p w14:paraId="5EB14A85">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637808F9">
      <w:pPr>
        <w:pStyle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附件七</w:t>
      </w:r>
    </w:p>
    <w:p w14:paraId="6C730618">
      <w:pPr>
        <w:pStyle w:val="2"/>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zh-CN" w:eastAsia="zh-CN" w:bidi="ar-SA"/>
        </w:rPr>
        <w:t>谈判供应商认为需要提供的有关资料</w:t>
      </w:r>
    </w:p>
    <w:p w14:paraId="150AA068">
      <w:pPr>
        <w:rPr>
          <w:rFonts w:hint="eastAsia" w:ascii="宋体" w:hAnsi="宋体" w:eastAsia="宋体" w:cs="宋体"/>
          <w:sz w:val="24"/>
          <w:szCs w:val="24"/>
        </w:rPr>
      </w:pPr>
    </w:p>
    <w:p w14:paraId="24381FF1">
      <w:pPr>
        <w:pStyle w:val="2"/>
        <w:rPr>
          <w:rFonts w:hint="eastAsia" w:ascii="宋体" w:hAnsi="宋体" w:eastAsia="宋体" w:cs="宋体"/>
          <w:sz w:val="24"/>
          <w:szCs w:val="24"/>
        </w:rPr>
      </w:pPr>
    </w:p>
    <w:p w14:paraId="34CE7C98">
      <w:pPr>
        <w:rPr>
          <w:rFonts w:hint="eastAsia" w:ascii="宋体" w:hAnsi="宋体" w:eastAsia="宋体" w:cs="宋体"/>
          <w:sz w:val="24"/>
          <w:szCs w:val="24"/>
        </w:rPr>
      </w:pPr>
      <w:r>
        <w:rPr>
          <w:rFonts w:hint="eastAsia" w:ascii="宋体" w:hAnsi="宋体" w:eastAsia="宋体" w:cs="宋体"/>
          <w:sz w:val="24"/>
          <w:szCs w:val="24"/>
        </w:rPr>
        <w:br w:type="page"/>
      </w:r>
    </w:p>
    <w:p w14:paraId="28DA3ACB">
      <w:pPr>
        <w:spacing w:line="360" w:lineRule="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九</w:t>
      </w:r>
    </w:p>
    <w:p w14:paraId="66881B7C">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sz w:val="24"/>
          <w:szCs w:val="24"/>
        </w:rPr>
        <w:t>合同签订承诺</w:t>
      </w:r>
    </w:p>
    <w:p w14:paraId="6C050F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7369E391">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我公司承诺在成交通知书发放后</w:t>
      </w:r>
      <w:r>
        <w:rPr>
          <w:rFonts w:hint="eastAsia" w:ascii="宋体" w:hAnsi="宋体" w:eastAsia="宋体" w:cs="宋体"/>
          <w:sz w:val="24"/>
          <w:szCs w:val="24"/>
          <w:lang w:val="en-US" w:eastAsia="zh-CN"/>
        </w:rPr>
        <w:t>三十</w:t>
      </w:r>
      <w:r>
        <w:rPr>
          <w:rFonts w:hint="eastAsia" w:ascii="宋体" w:hAnsi="宋体" w:eastAsia="宋体" w:cs="宋体"/>
          <w:sz w:val="24"/>
          <w:szCs w:val="24"/>
        </w:rPr>
        <w:t>日内与</w:t>
      </w:r>
      <w:r>
        <w:rPr>
          <w:rFonts w:hint="eastAsia" w:ascii="宋体" w:hAnsi="宋体" w:eastAsia="宋体" w:cs="宋体"/>
          <w:sz w:val="24"/>
          <w:szCs w:val="24"/>
          <w:lang w:val="en-US" w:eastAsia="zh-CN"/>
        </w:rPr>
        <w:t>采购</w:t>
      </w:r>
      <w:r>
        <w:rPr>
          <w:rFonts w:hint="eastAsia" w:ascii="宋体" w:hAnsi="宋体" w:eastAsia="宋体" w:cs="宋体"/>
          <w:sz w:val="24"/>
          <w:szCs w:val="24"/>
        </w:rPr>
        <w:t>人签订</w:t>
      </w:r>
      <w:r>
        <w:rPr>
          <w:rFonts w:hint="eastAsia" w:hAnsi="宋体" w:eastAsia="宋体" w:cs="宋体"/>
          <w:sz w:val="24"/>
          <w:szCs w:val="24"/>
          <w:lang w:val="en-US" w:eastAsia="zh-CN"/>
        </w:rPr>
        <w:t>采购</w:t>
      </w:r>
      <w:r>
        <w:rPr>
          <w:rFonts w:hint="eastAsia" w:ascii="宋体" w:hAnsi="宋体" w:eastAsia="宋体" w:cs="宋体"/>
          <w:sz w:val="24"/>
          <w:szCs w:val="24"/>
        </w:rPr>
        <w:t>合同，逾期自愿放弃中标资格并接受相关单位处理。</w:t>
      </w:r>
    </w:p>
    <w:p w14:paraId="455D57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特此承诺。</w:t>
      </w:r>
    </w:p>
    <w:p w14:paraId="49C7CE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0D4ED6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75EB41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3FB0210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17D3DE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63D7C85B">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4365F83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873149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F1B1FB4">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07FC4C9">
      <w:pPr>
        <w:spacing w:line="360" w:lineRule="auto"/>
        <w:ind w:firstLine="480" w:firstLineChars="200"/>
        <w:rPr>
          <w:rFonts w:hint="eastAsia" w:ascii="宋体" w:hAnsi="宋体" w:eastAsia="宋体" w:cs="宋体"/>
          <w:kern w:val="0"/>
          <w:sz w:val="24"/>
          <w:szCs w:val="24"/>
        </w:rPr>
      </w:pPr>
    </w:p>
    <w:p w14:paraId="477E2121">
      <w:pPr>
        <w:spacing w:line="360" w:lineRule="auto"/>
        <w:ind w:firstLine="480" w:firstLineChars="200"/>
        <w:rPr>
          <w:rFonts w:hint="eastAsia" w:ascii="宋体" w:hAnsi="宋体" w:eastAsia="宋体" w:cs="宋体"/>
          <w:kern w:val="0"/>
          <w:sz w:val="24"/>
          <w:szCs w:val="24"/>
        </w:rPr>
      </w:pPr>
    </w:p>
    <w:p w14:paraId="1B79A361">
      <w:pPr>
        <w:spacing w:line="360" w:lineRule="auto"/>
        <w:ind w:firstLine="480" w:firstLineChars="200"/>
        <w:rPr>
          <w:rFonts w:hint="eastAsia" w:ascii="宋体" w:hAnsi="宋体" w:eastAsia="宋体" w:cs="宋体"/>
          <w:kern w:val="0"/>
          <w:sz w:val="24"/>
          <w:szCs w:val="24"/>
        </w:rPr>
      </w:pPr>
    </w:p>
    <w:p w14:paraId="2B956B49">
      <w:pPr>
        <w:spacing w:line="360" w:lineRule="auto"/>
        <w:ind w:firstLine="480" w:firstLineChars="200"/>
        <w:rPr>
          <w:rFonts w:hint="eastAsia" w:ascii="宋体" w:hAnsi="宋体" w:eastAsia="宋体" w:cs="宋体"/>
          <w:kern w:val="0"/>
          <w:sz w:val="24"/>
          <w:szCs w:val="24"/>
        </w:rPr>
      </w:pPr>
    </w:p>
    <w:p w14:paraId="248B659A">
      <w:pPr>
        <w:spacing w:line="360" w:lineRule="auto"/>
        <w:ind w:firstLine="480" w:firstLineChars="200"/>
        <w:rPr>
          <w:rFonts w:hint="eastAsia" w:ascii="宋体" w:hAnsi="宋体" w:eastAsia="宋体" w:cs="宋体"/>
          <w:kern w:val="0"/>
          <w:sz w:val="24"/>
          <w:szCs w:val="24"/>
        </w:rPr>
      </w:pPr>
    </w:p>
    <w:p w14:paraId="6B43060A">
      <w:pPr>
        <w:spacing w:line="360" w:lineRule="auto"/>
        <w:ind w:firstLine="480" w:firstLineChars="200"/>
        <w:rPr>
          <w:rFonts w:hint="eastAsia" w:ascii="宋体" w:hAnsi="宋体" w:eastAsia="宋体" w:cs="宋体"/>
          <w:kern w:val="0"/>
          <w:sz w:val="24"/>
          <w:szCs w:val="24"/>
        </w:rPr>
      </w:pPr>
    </w:p>
    <w:p w14:paraId="56B22EF5">
      <w:pPr>
        <w:spacing w:line="360" w:lineRule="auto"/>
        <w:ind w:firstLine="480" w:firstLineChars="200"/>
        <w:rPr>
          <w:rFonts w:hint="eastAsia" w:ascii="宋体" w:hAnsi="宋体" w:eastAsia="宋体" w:cs="宋体"/>
          <w:kern w:val="0"/>
          <w:sz w:val="24"/>
          <w:szCs w:val="24"/>
        </w:rPr>
      </w:pPr>
    </w:p>
    <w:p w14:paraId="4F363DD4">
      <w:pPr>
        <w:spacing w:line="360" w:lineRule="auto"/>
        <w:ind w:firstLine="480" w:firstLineChars="200"/>
        <w:rPr>
          <w:rFonts w:hint="eastAsia" w:ascii="宋体" w:hAnsi="宋体" w:eastAsia="宋体" w:cs="宋体"/>
          <w:kern w:val="0"/>
          <w:sz w:val="24"/>
          <w:szCs w:val="24"/>
        </w:rPr>
      </w:pPr>
    </w:p>
    <w:p w14:paraId="53823F33">
      <w:pPr>
        <w:spacing w:line="360" w:lineRule="auto"/>
        <w:ind w:firstLine="480" w:firstLineChars="200"/>
        <w:rPr>
          <w:rFonts w:hint="eastAsia" w:ascii="宋体" w:hAnsi="宋体" w:eastAsia="宋体" w:cs="宋体"/>
          <w:kern w:val="0"/>
          <w:sz w:val="24"/>
          <w:szCs w:val="24"/>
        </w:rPr>
      </w:pPr>
    </w:p>
    <w:p w14:paraId="5704B15E">
      <w:pPr>
        <w:spacing w:line="360" w:lineRule="auto"/>
        <w:ind w:firstLine="480" w:firstLineChars="200"/>
        <w:rPr>
          <w:rFonts w:hint="eastAsia" w:ascii="宋体" w:hAnsi="宋体" w:eastAsia="宋体" w:cs="宋体"/>
          <w:kern w:val="0"/>
          <w:sz w:val="24"/>
          <w:szCs w:val="24"/>
        </w:rPr>
      </w:pPr>
    </w:p>
    <w:p w14:paraId="3B2102E5">
      <w:pPr>
        <w:spacing w:line="360" w:lineRule="auto"/>
        <w:rPr>
          <w:rFonts w:hint="eastAsia" w:ascii="宋体" w:hAnsi="宋体" w:eastAsia="宋体" w:cs="宋体"/>
          <w:bCs/>
          <w:kern w:val="0"/>
          <w:sz w:val="24"/>
          <w:szCs w:val="24"/>
        </w:rPr>
      </w:pPr>
    </w:p>
    <w:p w14:paraId="4D3E7E63">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78BC23E5">
      <w:pPr>
        <w:spacing w:line="360" w:lineRule="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w:t>
      </w:r>
    </w:p>
    <w:p w14:paraId="014BF0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064255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（供应商自行编写并加盖单位公章）</w:t>
      </w:r>
    </w:p>
    <w:p w14:paraId="4A8A1C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7BA737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09A3F5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5338D2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2E53FF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2400D0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十一</w:t>
      </w:r>
    </w:p>
    <w:p w14:paraId="328E51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供应商在参与本次采购活动期间未在被禁止参加政府采购活动期限内的书面声明。</w:t>
      </w:r>
    </w:p>
    <w:p w14:paraId="40F69B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rPr>
      </w:pPr>
      <w:r>
        <w:rPr>
          <w:rFonts w:hint="eastAsia" w:ascii="宋体" w:hAnsi="宋体" w:eastAsia="宋体" w:cs="宋体"/>
          <w:b/>
          <w:sz w:val="24"/>
          <w:szCs w:val="24"/>
        </w:rPr>
        <w:t>（供应商自行编写并加盖单位公章）</w:t>
      </w:r>
    </w:p>
    <w:p w14:paraId="477FE0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50C58BBF">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253F4D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77831A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7C15BF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11E31C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340D3B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269E9A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十二</w:t>
      </w:r>
    </w:p>
    <w:p w14:paraId="3E711E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应</w:t>
      </w:r>
      <w:r>
        <w:rPr>
          <w:rFonts w:hint="eastAsia" w:ascii="宋体" w:hAnsi="宋体" w:eastAsia="宋体" w:cs="宋体"/>
          <w:sz w:val="24"/>
          <w:szCs w:val="24"/>
        </w:rPr>
        <w:t>未被“信用中国”网站(www.creditchina.gov.cn)列入失信被执行人、重大税收违法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rPr>
        <w:t>、政府采购严重违法失信行为记录名单</w:t>
      </w:r>
      <w:r>
        <w:rPr>
          <w:rFonts w:hint="eastAsia" w:ascii="宋体" w:hAnsi="宋体" w:eastAsia="宋体" w:cs="宋体"/>
          <w:color w:val="auto"/>
          <w:sz w:val="24"/>
          <w:szCs w:val="24"/>
          <w:u w:val="none"/>
          <w:lang w:val="zh-CN" w:eastAsia="zh-CN"/>
        </w:rPr>
        <w:t>。</w:t>
      </w:r>
    </w:p>
    <w:p w14:paraId="24D2449B">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b/>
          <w:bCs/>
          <w:kern w:val="2"/>
          <w:sz w:val="24"/>
          <w:szCs w:val="24"/>
          <w:lang w:val="zh-CN" w:eastAsia="zh-CN" w:bidi="ar-SA"/>
        </w:rPr>
        <w:t>（供应商自行截图、编写并加盖单位公章）</w:t>
      </w:r>
    </w:p>
    <w:p w14:paraId="0BFF23C7">
      <w:pPr>
        <w:spacing w:line="360" w:lineRule="auto"/>
        <w:jc w:val="center"/>
        <w:rPr>
          <w:rFonts w:hint="eastAsia" w:ascii="宋体" w:hAnsi="宋体" w:eastAsia="宋体" w:cs="宋体"/>
          <w:b/>
          <w:sz w:val="24"/>
          <w:szCs w:val="24"/>
        </w:rPr>
      </w:pPr>
    </w:p>
    <w:p w14:paraId="3C4F7FF6">
      <w:pPr>
        <w:pStyle w:val="2"/>
        <w:rPr>
          <w:rFonts w:hint="eastAsia" w:ascii="宋体" w:hAnsi="宋体" w:eastAsia="宋体" w:cs="宋体"/>
          <w:sz w:val="24"/>
          <w:szCs w:val="24"/>
        </w:rPr>
      </w:pPr>
    </w:p>
    <w:p w14:paraId="6220769F">
      <w:pPr>
        <w:widowControl/>
        <w:jc w:val="left"/>
        <w:rPr>
          <w:rFonts w:hint="eastAsia" w:ascii="宋体" w:hAnsi="宋体" w:eastAsia="宋体" w:cs="宋体"/>
          <w:bCs/>
          <w:kern w:val="0"/>
          <w:sz w:val="24"/>
          <w:szCs w:val="24"/>
        </w:rPr>
      </w:pPr>
    </w:p>
    <w:p w14:paraId="496F82EA">
      <w:pPr>
        <w:rPr>
          <w:rFonts w:hint="eastAsia" w:ascii="宋体" w:hAnsi="宋体" w:eastAsia="宋体" w:cs="宋体"/>
          <w:sz w:val="24"/>
          <w:szCs w:val="24"/>
        </w:rPr>
      </w:pPr>
      <w:r>
        <w:rPr>
          <w:rFonts w:hint="eastAsia" w:ascii="宋体" w:hAnsi="宋体" w:eastAsia="宋体" w:cs="宋体"/>
          <w:sz w:val="24"/>
          <w:szCs w:val="24"/>
        </w:rPr>
        <w:br w:type="page"/>
      </w:r>
    </w:p>
    <w:p w14:paraId="74D8CC9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十三</w:t>
      </w:r>
    </w:p>
    <w:p w14:paraId="4BD8A5AF">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未参加同一合同项下的政府采购活动的声明函</w:t>
      </w:r>
    </w:p>
    <w:p w14:paraId="390817E6">
      <w:pPr>
        <w:rPr>
          <w:rFonts w:hint="eastAsia" w:ascii="宋体" w:hAnsi="宋体" w:eastAsia="宋体" w:cs="宋体"/>
          <w:b/>
          <w:sz w:val="24"/>
          <w:szCs w:val="24"/>
        </w:rPr>
      </w:pPr>
    </w:p>
    <w:p w14:paraId="61B78DE4">
      <w:pPr>
        <w:spacing w:line="360" w:lineRule="auto"/>
        <w:rPr>
          <w:rFonts w:hint="eastAsia" w:ascii="宋体" w:hAnsi="宋体" w:eastAsia="宋体" w:cs="宋体"/>
          <w:b/>
          <w:sz w:val="24"/>
          <w:szCs w:val="24"/>
          <w:u w:val="single"/>
        </w:rPr>
      </w:pPr>
    </w:p>
    <w:p w14:paraId="483301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7CDFFA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(项目编号：)的政府采购活动，根据谈判文件的规定提交相关资格证明文件。并郑重声明如下：</w:t>
      </w:r>
    </w:p>
    <w:p w14:paraId="36ED10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1.未与单位负责人为同一人或者存在直接控股、管理关系的其它供应商，参加本项目同一合同项下的政府采购活动；</w:t>
      </w:r>
    </w:p>
    <w:p w14:paraId="5CEA97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2.对上述声明内容的真实性负责。如有虚假，将依法承担相应责任。</w:t>
      </w:r>
    </w:p>
    <w:p w14:paraId="371920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0060784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p>
    <w:p w14:paraId="03E1DEB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85CCDC9">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4625560">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8FCE974">
      <w:pPr>
        <w:spacing w:line="360" w:lineRule="auto"/>
        <w:ind w:firstLine="482" w:firstLineChars="200"/>
        <w:rPr>
          <w:rFonts w:hint="eastAsia" w:ascii="宋体" w:hAnsi="宋体" w:eastAsia="宋体" w:cs="宋体"/>
          <w:b/>
          <w:kern w:val="0"/>
          <w:sz w:val="24"/>
          <w:szCs w:val="24"/>
        </w:rPr>
      </w:pPr>
    </w:p>
    <w:p w14:paraId="1E7DA05D">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14:paraId="58A6AF7A">
      <w:pPr>
        <w:widowControl/>
        <w:jc w:val="left"/>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十四</w:t>
      </w:r>
    </w:p>
    <w:p w14:paraId="2E03A4BA">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关于供应商资格要求的承诺函</w:t>
      </w:r>
    </w:p>
    <w:p w14:paraId="7DEE6F68">
      <w:pPr>
        <w:rPr>
          <w:rFonts w:hint="eastAsia" w:ascii="宋体" w:hAnsi="宋体" w:eastAsia="宋体" w:cs="宋体"/>
          <w:b/>
          <w:sz w:val="24"/>
          <w:szCs w:val="24"/>
        </w:rPr>
      </w:pPr>
    </w:p>
    <w:p w14:paraId="69780C0B">
      <w:pPr>
        <w:spacing w:line="360" w:lineRule="auto"/>
        <w:rPr>
          <w:rFonts w:hint="eastAsia" w:ascii="宋体" w:hAnsi="宋体" w:eastAsia="宋体" w:cs="宋体"/>
          <w:b/>
          <w:sz w:val="24"/>
          <w:szCs w:val="24"/>
          <w:u w:val="single"/>
        </w:rPr>
      </w:pPr>
    </w:p>
    <w:p w14:paraId="220D46B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u w:val="single"/>
        </w:rPr>
      </w:pPr>
      <w:r>
        <w:rPr>
          <w:rFonts w:hint="eastAsia" w:ascii="宋体" w:hAnsi="宋体" w:eastAsia="宋体" w:cs="宋体"/>
          <w:bCs/>
          <w:sz w:val="24"/>
          <w:szCs w:val="24"/>
          <w:u w:val="single"/>
        </w:rPr>
        <w:t>（采购人或采购代理机构）：</w:t>
      </w:r>
    </w:p>
    <w:p w14:paraId="3E2E79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bCs/>
          <w:sz w:val="24"/>
          <w:szCs w:val="24"/>
          <w:u w:val="single"/>
        </w:rPr>
        <w:t>（</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(项目编号：)的政府采购活动，根据谈判文件的规定我公司现承诺：我公司满足政府采购法第二十二条关于供应商的资格要求：</w:t>
      </w:r>
    </w:p>
    <w:p w14:paraId="58C628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1.具有独立承担民事责任的能力；</w:t>
      </w:r>
    </w:p>
    <w:p w14:paraId="554A31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2.具有良好的商业信誉和健全的财务会计制度；</w:t>
      </w:r>
    </w:p>
    <w:p w14:paraId="60B6948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3.具有履行合同所必需的设备和专业技术能力；</w:t>
      </w:r>
    </w:p>
    <w:p w14:paraId="5728B8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bCs/>
          <w:sz w:val="24"/>
          <w:szCs w:val="24"/>
        </w:rPr>
        <w:t>4.</w:t>
      </w:r>
      <w:r>
        <w:rPr>
          <w:rFonts w:hint="eastAsia" w:ascii="宋体" w:hAnsi="宋体" w:eastAsia="宋体" w:cs="宋体"/>
          <w:bCs/>
          <w:sz w:val="24"/>
          <w:szCs w:val="24"/>
          <w:lang w:val="zh-CN"/>
        </w:rPr>
        <w:t>有依法缴纳税收和社会保障资金的良好记录；</w:t>
      </w:r>
    </w:p>
    <w:p w14:paraId="0D0AD3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bCs/>
          <w:sz w:val="24"/>
          <w:szCs w:val="24"/>
          <w:lang w:val="zh-CN"/>
        </w:rPr>
        <w:t>参加政府采购活动前三年内，在经营活动中没有重大违法记录；</w:t>
      </w:r>
    </w:p>
    <w:p w14:paraId="578542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bCs/>
          <w:sz w:val="24"/>
          <w:szCs w:val="24"/>
          <w:lang w:val="zh-CN"/>
        </w:rPr>
        <w:t>法律、行政法规规定的其他条件。</w:t>
      </w:r>
    </w:p>
    <w:p w14:paraId="11079E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我公司对上述承诺内容的真实性负责。如有虚假，将依法承担相应责任。</w:t>
      </w:r>
    </w:p>
    <w:p w14:paraId="4AB3E0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1F9605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7B8A9DA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2366E1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B6ED442">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192D00A">
      <w:pPr>
        <w:widowControl/>
        <w:jc w:val="right"/>
        <w:rPr>
          <w:rFonts w:hint="eastAsia" w:ascii="宋体" w:hAnsi="宋体" w:eastAsia="宋体" w:cs="宋体"/>
          <w:sz w:val="24"/>
          <w:szCs w:val="24"/>
        </w:rPr>
      </w:pPr>
    </w:p>
    <w:p w14:paraId="67468D5D">
      <w:pPr>
        <w:rPr>
          <w:rFonts w:hint="eastAsia" w:ascii="宋体" w:hAnsi="宋体" w:eastAsia="宋体" w:cs="宋体"/>
          <w:sz w:val="24"/>
          <w:szCs w:val="24"/>
        </w:rPr>
      </w:pPr>
      <w:r>
        <w:rPr>
          <w:rFonts w:hint="eastAsia" w:ascii="宋体" w:hAnsi="宋体" w:eastAsia="宋体" w:cs="宋体"/>
          <w:sz w:val="24"/>
          <w:szCs w:val="24"/>
        </w:rPr>
        <w:br w:type="page"/>
      </w:r>
    </w:p>
    <w:p w14:paraId="043C579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十六</w:t>
      </w:r>
    </w:p>
    <w:tbl>
      <w:tblPr>
        <w:tblStyle w:val="16"/>
        <w:tblW w:w="9071" w:type="dxa"/>
        <w:jc w:val="center"/>
        <w:tblLayout w:type="fixed"/>
        <w:tblCellMar>
          <w:top w:w="0" w:type="dxa"/>
          <w:left w:w="108" w:type="dxa"/>
          <w:bottom w:w="0" w:type="dxa"/>
          <w:right w:w="108" w:type="dxa"/>
        </w:tblCellMar>
      </w:tblPr>
      <w:tblGrid>
        <w:gridCol w:w="2959"/>
        <w:gridCol w:w="6112"/>
      </w:tblGrid>
      <w:tr w14:paraId="05907859">
        <w:tblPrEx>
          <w:tblCellMar>
            <w:top w:w="0" w:type="dxa"/>
            <w:left w:w="108" w:type="dxa"/>
            <w:bottom w:w="0" w:type="dxa"/>
            <w:right w:w="108" w:type="dxa"/>
          </w:tblCellMar>
        </w:tblPrEx>
        <w:trPr>
          <w:trHeight w:val="720" w:hRule="atLeast"/>
          <w:jc w:val="center"/>
        </w:trPr>
        <w:tc>
          <w:tcPr>
            <w:tcW w:w="9356" w:type="dxa"/>
            <w:gridSpan w:val="2"/>
            <w:tcBorders>
              <w:top w:val="nil"/>
              <w:left w:val="nil"/>
              <w:bottom w:val="nil"/>
              <w:right w:val="nil"/>
            </w:tcBorders>
            <w:vAlign w:val="center"/>
          </w:tcPr>
          <w:p w14:paraId="18C46854">
            <w:pPr>
              <w:autoSpaceDE w:val="0"/>
              <w:autoSpaceDN w:val="0"/>
              <w:adjustRightInd w:val="0"/>
              <w:snapToGrid w:val="0"/>
              <w:jc w:val="center"/>
              <w:rPr>
                <w:rFonts w:hint="eastAsia" w:ascii="宋体" w:hAnsi="宋体" w:eastAsia="宋体" w:cs="宋体"/>
                <w:b/>
                <w:sz w:val="24"/>
                <w:szCs w:val="24"/>
                <w:lang w:val="zh-CN"/>
              </w:rPr>
            </w:pPr>
            <w:r>
              <w:rPr>
                <w:rFonts w:hint="eastAsia" w:ascii="宋体" w:hAnsi="宋体" w:eastAsia="宋体" w:cs="宋体"/>
                <w:b/>
                <w:sz w:val="24"/>
                <w:szCs w:val="24"/>
                <w:lang w:val="zh-CN"/>
              </w:rPr>
              <w:t>竞争性谈判第二轮报价表</w:t>
            </w:r>
          </w:p>
        </w:tc>
      </w:tr>
      <w:tr w14:paraId="0098405E">
        <w:tblPrEx>
          <w:tblCellMar>
            <w:top w:w="0" w:type="dxa"/>
            <w:left w:w="108" w:type="dxa"/>
            <w:bottom w:w="0" w:type="dxa"/>
            <w:right w:w="108" w:type="dxa"/>
          </w:tblCellMar>
        </w:tblPrEx>
        <w:trPr>
          <w:trHeight w:val="735" w:hRule="atLeast"/>
          <w:jc w:val="center"/>
        </w:trPr>
        <w:tc>
          <w:tcPr>
            <w:tcW w:w="3049" w:type="dxa"/>
            <w:tcBorders>
              <w:top w:val="nil"/>
              <w:left w:val="nil"/>
              <w:bottom w:val="nil"/>
              <w:right w:val="nil"/>
            </w:tcBorders>
            <w:vAlign w:val="bottom"/>
          </w:tcPr>
          <w:p w14:paraId="1FB4FF4D">
            <w:pPr>
              <w:widowControl/>
              <w:snapToGrid w:val="0"/>
              <w:spacing w:line="360" w:lineRule="auto"/>
              <w:ind w:firstLine="480" w:firstLineChars="200"/>
              <w:jc w:val="left"/>
              <w:rPr>
                <w:rFonts w:hint="eastAsia" w:ascii="宋体" w:hAnsi="宋体" w:eastAsia="宋体" w:cs="宋体"/>
                <w:kern w:val="0"/>
                <w:sz w:val="24"/>
                <w:szCs w:val="24"/>
              </w:rPr>
            </w:pPr>
          </w:p>
        </w:tc>
        <w:tc>
          <w:tcPr>
            <w:tcW w:w="6307" w:type="dxa"/>
            <w:tcBorders>
              <w:top w:val="nil"/>
              <w:left w:val="nil"/>
              <w:bottom w:val="nil"/>
              <w:right w:val="nil"/>
            </w:tcBorders>
            <w:vAlign w:val="bottom"/>
          </w:tcPr>
          <w:p w14:paraId="4378C80D">
            <w:pPr>
              <w:widowControl/>
              <w:snapToGrid w:val="0"/>
              <w:spacing w:line="360" w:lineRule="auto"/>
              <w:ind w:firstLine="480" w:firstLineChars="200"/>
              <w:jc w:val="right"/>
              <w:rPr>
                <w:rFonts w:hint="eastAsia" w:ascii="宋体" w:hAnsi="宋体" w:eastAsia="宋体" w:cs="宋体"/>
                <w:kern w:val="0"/>
                <w:sz w:val="24"/>
                <w:szCs w:val="24"/>
              </w:rPr>
            </w:pPr>
            <w:r>
              <w:rPr>
                <w:rFonts w:hint="eastAsia" w:ascii="宋体" w:hAnsi="宋体" w:eastAsia="宋体" w:cs="宋体"/>
                <w:kern w:val="0"/>
                <w:sz w:val="24"/>
                <w:szCs w:val="24"/>
              </w:rPr>
              <w:t>单位：</w:t>
            </w:r>
            <w:r>
              <w:rPr>
                <w:rFonts w:hint="eastAsia" w:ascii="宋体" w:hAnsi="宋体" w:eastAsia="宋体" w:cs="宋体"/>
                <w:kern w:val="0"/>
                <w:sz w:val="24"/>
                <w:szCs w:val="24"/>
                <w:lang w:val="en-US" w:eastAsia="zh-CN"/>
              </w:rPr>
              <w:t>%</w:t>
            </w:r>
          </w:p>
        </w:tc>
      </w:tr>
      <w:tr w14:paraId="44123477">
        <w:tblPrEx>
          <w:tblCellMar>
            <w:top w:w="0" w:type="dxa"/>
            <w:left w:w="108" w:type="dxa"/>
            <w:bottom w:w="0" w:type="dxa"/>
            <w:right w:w="108" w:type="dxa"/>
          </w:tblCellMar>
        </w:tblPrEx>
        <w:trPr>
          <w:trHeight w:val="1329" w:hRule="atLeast"/>
          <w:jc w:val="center"/>
        </w:trPr>
        <w:tc>
          <w:tcPr>
            <w:tcW w:w="3049" w:type="dxa"/>
            <w:tcBorders>
              <w:top w:val="single" w:color="auto" w:sz="4" w:space="0"/>
              <w:left w:val="single" w:color="auto" w:sz="4" w:space="0"/>
              <w:bottom w:val="single" w:color="auto" w:sz="4" w:space="0"/>
              <w:right w:val="single" w:color="auto" w:sz="4" w:space="0"/>
            </w:tcBorders>
            <w:vAlign w:val="center"/>
          </w:tcPr>
          <w:p w14:paraId="032B11A1">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307" w:type="dxa"/>
            <w:tcBorders>
              <w:top w:val="single" w:color="auto" w:sz="4" w:space="0"/>
              <w:left w:val="nil"/>
              <w:bottom w:val="single" w:color="auto" w:sz="4" w:space="0"/>
              <w:right w:val="single" w:color="auto" w:sz="4" w:space="0"/>
            </w:tcBorders>
            <w:vAlign w:val="center"/>
          </w:tcPr>
          <w:p w14:paraId="620391CC">
            <w:pPr>
              <w:widowControl/>
              <w:snapToGrid w:val="0"/>
              <w:spacing w:line="360" w:lineRule="auto"/>
              <w:jc w:val="left"/>
              <w:rPr>
                <w:rFonts w:hint="default" w:ascii="宋体" w:hAnsi="宋体" w:eastAsia="宋体" w:cs="宋体"/>
                <w:b w:val="0"/>
                <w:bCs/>
                <w:kern w:val="0"/>
                <w:sz w:val="24"/>
                <w:szCs w:val="24"/>
                <w:lang w:val="en-US" w:eastAsia="zh-CN"/>
              </w:rPr>
            </w:pPr>
          </w:p>
        </w:tc>
      </w:tr>
      <w:tr w14:paraId="65889D24">
        <w:tblPrEx>
          <w:tblCellMar>
            <w:top w:w="0" w:type="dxa"/>
            <w:left w:w="108" w:type="dxa"/>
            <w:bottom w:w="0" w:type="dxa"/>
            <w:right w:w="108" w:type="dxa"/>
          </w:tblCellMar>
        </w:tblPrEx>
        <w:trPr>
          <w:trHeight w:val="1400" w:hRule="atLeast"/>
          <w:jc w:val="center"/>
        </w:trPr>
        <w:tc>
          <w:tcPr>
            <w:tcW w:w="3049" w:type="dxa"/>
            <w:tcBorders>
              <w:top w:val="nil"/>
              <w:left w:val="single" w:color="auto" w:sz="4" w:space="0"/>
              <w:bottom w:val="single" w:color="auto" w:sz="4" w:space="0"/>
              <w:right w:val="single" w:color="auto" w:sz="4" w:space="0"/>
            </w:tcBorders>
            <w:vAlign w:val="center"/>
          </w:tcPr>
          <w:p w14:paraId="6B99C6F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201625A4">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307" w:type="dxa"/>
            <w:tcBorders>
              <w:top w:val="nil"/>
              <w:left w:val="nil"/>
              <w:bottom w:val="single" w:color="auto" w:sz="4" w:space="0"/>
              <w:right w:val="single" w:color="auto" w:sz="4" w:space="0"/>
            </w:tcBorders>
            <w:vAlign w:val="center"/>
          </w:tcPr>
          <w:p w14:paraId="18DE6CE2">
            <w:pPr>
              <w:widowControl/>
              <w:snapToGrid w:val="0"/>
              <w:spacing w:line="360" w:lineRule="auto"/>
              <w:jc w:val="left"/>
              <w:rPr>
                <w:rFonts w:hint="eastAsia" w:ascii="宋体" w:hAnsi="宋体" w:eastAsia="宋体" w:cs="宋体"/>
                <w:kern w:val="0"/>
                <w:sz w:val="24"/>
                <w:szCs w:val="24"/>
              </w:rPr>
            </w:pPr>
          </w:p>
        </w:tc>
      </w:tr>
      <w:tr w14:paraId="4BF89CEB">
        <w:tblPrEx>
          <w:tblCellMar>
            <w:top w:w="0" w:type="dxa"/>
            <w:left w:w="108" w:type="dxa"/>
            <w:bottom w:w="0" w:type="dxa"/>
            <w:right w:w="108" w:type="dxa"/>
          </w:tblCellMar>
        </w:tblPrEx>
        <w:trPr>
          <w:trHeight w:val="1237" w:hRule="atLeast"/>
          <w:jc w:val="center"/>
        </w:trPr>
        <w:tc>
          <w:tcPr>
            <w:tcW w:w="3049" w:type="dxa"/>
            <w:tcBorders>
              <w:top w:val="nil"/>
              <w:left w:val="single" w:color="auto" w:sz="4" w:space="0"/>
              <w:bottom w:val="single" w:color="auto" w:sz="4" w:space="0"/>
              <w:right w:val="single" w:color="auto" w:sz="4" w:space="0"/>
            </w:tcBorders>
            <w:vAlign w:val="center"/>
          </w:tcPr>
          <w:p w14:paraId="03F886AA">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谈判地址</w:t>
            </w:r>
          </w:p>
        </w:tc>
        <w:tc>
          <w:tcPr>
            <w:tcW w:w="6307" w:type="dxa"/>
            <w:tcBorders>
              <w:top w:val="nil"/>
              <w:left w:val="nil"/>
              <w:bottom w:val="single" w:color="auto" w:sz="4" w:space="0"/>
              <w:right w:val="single" w:color="auto" w:sz="4" w:space="0"/>
            </w:tcBorders>
            <w:vAlign w:val="center"/>
          </w:tcPr>
          <w:p w14:paraId="1A1FA533">
            <w:pPr>
              <w:widowControl/>
              <w:snapToGrid w:val="0"/>
              <w:spacing w:line="360" w:lineRule="auto"/>
              <w:jc w:val="left"/>
              <w:rPr>
                <w:rFonts w:hint="eastAsia" w:ascii="宋体" w:hAnsi="宋体" w:eastAsia="宋体" w:cs="宋体"/>
                <w:kern w:val="0"/>
                <w:sz w:val="24"/>
                <w:szCs w:val="24"/>
              </w:rPr>
            </w:pPr>
          </w:p>
        </w:tc>
      </w:tr>
      <w:tr w14:paraId="79E03EF7">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2857BFD9">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307" w:type="dxa"/>
            <w:tcBorders>
              <w:top w:val="nil"/>
              <w:left w:val="nil"/>
              <w:bottom w:val="single" w:color="auto" w:sz="4" w:space="0"/>
              <w:right w:val="single" w:color="auto" w:sz="4" w:space="0"/>
            </w:tcBorders>
            <w:vAlign w:val="center"/>
          </w:tcPr>
          <w:p w14:paraId="0F9CC547">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（统一按单价下浮率报价）</w:t>
            </w:r>
          </w:p>
        </w:tc>
      </w:tr>
      <w:tr w14:paraId="283BD7E5">
        <w:tblPrEx>
          <w:tblCellMar>
            <w:top w:w="0" w:type="dxa"/>
            <w:left w:w="108" w:type="dxa"/>
            <w:bottom w:w="0" w:type="dxa"/>
            <w:right w:w="108" w:type="dxa"/>
          </w:tblCellMar>
        </w:tblPrEx>
        <w:trPr>
          <w:trHeight w:val="1115" w:hRule="atLeast"/>
          <w:jc w:val="center"/>
        </w:trPr>
        <w:tc>
          <w:tcPr>
            <w:tcW w:w="3049" w:type="dxa"/>
            <w:tcBorders>
              <w:top w:val="nil"/>
              <w:left w:val="single" w:color="auto" w:sz="4" w:space="0"/>
              <w:bottom w:val="single" w:color="auto" w:sz="4" w:space="0"/>
              <w:right w:val="single" w:color="auto" w:sz="4" w:space="0"/>
            </w:tcBorders>
            <w:vAlign w:val="center"/>
          </w:tcPr>
          <w:p w14:paraId="229C504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报价时间</w:t>
            </w:r>
          </w:p>
        </w:tc>
        <w:tc>
          <w:tcPr>
            <w:tcW w:w="6307" w:type="dxa"/>
            <w:tcBorders>
              <w:top w:val="nil"/>
              <w:left w:val="nil"/>
              <w:bottom w:val="single" w:color="auto" w:sz="4" w:space="0"/>
              <w:right w:val="single" w:color="auto" w:sz="4" w:space="0"/>
            </w:tcBorders>
            <w:vAlign w:val="center"/>
          </w:tcPr>
          <w:p w14:paraId="2B0DC463">
            <w:pPr>
              <w:widowControl/>
              <w:snapToGrid w:val="0"/>
              <w:spacing w:line="360" w:lineRule="auto"/>
              <w:jc w:val="left"/>
              <w:rPr>
                <w:rFonts w:hint="eastAsia" w:ascii="宋体" w:hAnsi="宋体" w:eastAsia="宋体" w:cs="宋体"/>
                <w:kern w:val="0"/>
                <w:sz w:val="24"/>
                <w:szCs w:val="24"/>
              </w:rPr>
            </w:pPr>
          </w:p>
        </w:tc>
      </w:tr>
      <w:tr w14:paraId="07F9F78B">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1975FC6C">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法定代表人或</w:t>
            </w:r>
          </w:p>
          <w:p w14:paraId="11F667E5">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委托代理人签名</w:t>
            </w:r>
          </w:p>
        </w:tc>
        <w:tc>
          <w:tcPr>
            <w:tcW w:w="6307" w:type="dxa"/>
            <w:tcBorders>
              <w:top w:val="nil"/>
              <w:left w:val="nil"/>
              <w:bottom w:val="single" w:color="auto" w:sz="4" w:space="0"/>
              <w:right w:val="single" w:color="auto" w:sz="4" w:space="0"/>
            </w:tcBorders>
            <w:vAlign w:val="center"/>
          </w:tcPr>
          <w:p w14:paraId="5A1A9881">
            <w:pPr>
              <w:widowControl/>
              <w:snapToGrid w:val="0"/>
              <w:spacing w:line="360" w:lineRule="auto"/>
              <w:jc w:val="left"/>
              <w:rPr>
                <w:rFonts w:hint="eastAsia" w:ascii="宋体" w:hAnsi="宋体" w:eastAsia="宋体" w:cs="宋体"/>
                <w:kern w:val="0"/>
                <w:sz w:val="24"/>
                <w:szCs w:val="24"/>
              </w:rPr>
            </w:pPr>
          </w:p>
        </w:tc>
      </w:tr>
    </w:tbl>
    <w:p w14:paraId="5E0F274B">
      <w:pPr>
        <w:spacing w:line="360" w:lineRule="auto"/>
        <w:rPr>
          <w:rFonts w:hint="eastAsia" w:ascii="宋体" w:hAnsi="宋体" w:eastAsia="宋体" w:cs="宋体"/>
          <w:color w:val="000000" w:themeColor="text1"/>
          <w:sz w:val="24"/>
          <w:szCs w:val="24"/>
        </w:rPr>
      </w:pPr>
    </w:p>
    <w:p w14:paraId="213195B8">
      <w:pPr>
        <w:keepNext w:val="0"/>
        <w:keepLines w:val="0"/>
        <w:pageBreakBefore w:val="0"/>
        <w:widowControl w:val="0"/>
        <w:kinsoku/>
        <w:wordWrap/>
        <w:overflowPunct/>
        <w:topLinePunct w:val="0"/>
        <w:autoSpaceDE/>
        <w:autoSpaceDN/>
        <w:bidi w:val="0"/>
        <w:adjustRightInd/>
        <w:snapToGrid/>
        <w:spacing w:before="313" w:beforeLines="100" w:line="500" w:lineRule="exac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注：本表格单独打印在响应文件以外，参加谈判的供应商代表手持，参与竞争性谈判第二轮报价时按要求填写并递交给谈判小组。供应商报价不能低于第一轮下浮率报价，否则视为无效投标。</w:t>
      </w:r>
    </w:p>
    <w:p w14:paraId="6D0917D0">
      <w:pPr>
        <w:pStyle w:val="6"/>
        <w:rPr>
          <w:rFonts w:hint="eastAsia" w:ascii="宋体" w:hAnsi="宋体" w:eastAsia="宋体" w:cs="宋体"/>
          <w:sz w:val="24"/>
          <w:szCs w:val="24"/>
        </w:rPr>
      </w:pPr>
    </w:p>
    <w:p w14:paraId="0E2543C4">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722FE7EF">
      <w:pPr>
        <w:pStyle w:val="3"/>
        <w:bidi w:val="0"/>
        <w:jc w:val="center"/>
        <w:rPr>
          <w:rFonts w:hint="eastAsia" w:ascii="宋体" w:hAnsi="宋体" w:eastAsia="宋体" w:cs="宋体"/>
          <w:b/>
          <w:sz w:val="24"/>
          <w:szCs w:val="24"/>
          <w:lang w:val="en-US" w:eastAsia="zh-CN"/>
        </w:rPr>
      </w:pPr>
      <w:bookmarkStart w:id="16" w:name="_Toc5343"/>
      <w:bookmarkStart w:id="17" w:name="_Toc12930"/>
      <w:r>
        <w:rPr>
          <w:rFonts w:hint="eastAsia" w:ascii="宋体" w:hAnsi="宋体" w:eastAsia="宋体" w:cs="宋体"/>
          <w:b/>
          <w:sz w:val="24"/>
          <w:szCs w:val="24"/>
          <w:lang w:val="en-US" w:eastAsia="zh-CN"/>
        </w:rPr>
        <w:t xml:space="preserve">第六部分 </w:t>
      </w:r>
      <w:bookmarkStart w:id="18" w:name="_Toc2634"/>
      <w:r>
        <w:rPr>
          <w:rFonts w:hint="eastAsia" w:ascii="宋体" w:hAnsi="宋体" w:eastAsia="宋体" w:cs="宋体"/>
          <w:b/>
          <w:sz w:val="24"/>
          <w:szCs w:val="24"/>
          <w:lang w:val="en-US" w:eastAsia="zh-CN"/>
        </w:rPr>
        <w:t>资格后审证明文件</w:t>
      </w:r>
      <w:bookmarkEnd w:id="16"/>
      <w:bookmarkEnd w:id="17"/>
      <w:bookmarkEnd w:id="18"/>
    </w:p>
    <w:p w14:paraId="6628143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FF0000"/>
          <w:sz w:val="24"/>
          <w:szCs w:val="24"/>
        </w:rPr>
      </w:pPr>
      <w:r>
        <w:rPr>
          <w:rFonts w:hint="eastAsia" w:ascii="宋体" w:hAnsi="宋体" w:eastAsia="宋体" w:cs="宋体"/>
          <w:b/>
          <w:color w:val="FF0000"/>
          <w:kern w:val="0"/>
          <w:sz w:val="24"/>
          <w:szCs w:val="24"/>
          <w:u w:val="single"/>
        </w:rPr>
        <w:t>本次谈判实行资格后审，由谈判小组审查供应商提供的竞争性谈判响应文件，无须另外提供。所有证明材料是原件的扫描件或复印件并加盖公章，要求清晰易于辨认，文件未按要求提供或审查不合格的作无效投标处理</w:t>
      </w:r>
      <w:r>
        <w:rPr>
          <w:rFonts w:hint="eastAsia" w:ascii="宋体" w:hAnsi="宋体" w:eastAsia="宋体" w:cs="宋体"/>
          <w:b/>
          <w:color w:val="FF0000"/>
          <w:sz w:val="24"/>
          <w:szCs w:val="24"/>
          <w:u w:val="single"/>
        </w:rPr>
        <w:t>。</w:t>
      </w:r>
    </w:p>
    <w:p w14:paraId="5449DB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满足《中华人民共和国政府采购法》第二十二条规定，即：</w:t>
      </w:r>
    </w:p>
    <w:p w14:paraId="6FDEDD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具有独立承担民事责任的能力；</w:t>
      </w:r>
    </w:p>
    <w:p w14:paraId="413473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（2）具有良好的商业信誉和健全的财务会计制度；</w:t>
      </w:r>
    </w:p>
    <w:p w14:paraId="748730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（3）具有履行合同所必需的设备和专业技术能力</w:t>
      </w:r>
      <w:r>
        <w:rPr>
          <w:rFonts w:hint="eastAsia" w:ascii="宋体" w:hAnsi="宋体" w:eastAsia="宋体" w:cs="宋体"/>
          <w:sz w:val="24"/>
          <w:szCs w:val="24"/>
          <w:lang w:val="zh-CN"/>
        </w:rPr>
        <w:t>；</w:t>
      </w:r>
    </w:p>
    <w:p w14:paraId="74EB4C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（4）有依法缴纳税收和社会保障资金的良好记录；</w:t>
      </w:r>
    </w:p>
    <w:p w14:paraId="230E0E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（5）参加政府采购活动前三年内，在经营活动中没有重大违法记录；</w:t>
      </w:r>
    </w:p>
    <w:p w14:paraId="5EAF84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（6）法律、行政法规规定的其他条件。</w:t>
      </w:r>
    </w:p>
    <w:p w14:paraId="021395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提供在中华人民共和国境内注册的具有独立</w:t>
      </w:r>
      <w:r>
        <w:rPr>
          <w:rFonts w:hint="eastAsia" w:ascii="宋体" w:hAnsi="宋体" w:eastAsia="宋体" w:cs="宋体"/>
          <w:kern w:val="0"/>
          <w:sz w:val="24"/>
          <w:szCs w:val="24"/>
          <w:lang w:val="zh-CN"/>
        </w:rPr>
        <w:t>法人</w:t>
      </w:r>
      <w:r>
        <w:rPr>
          <w:rFonts w:hint="eastAsia" w:ascii="宋体" w:hAnsi="宋体" w:eastAsia="宋体" w:cs="宋体"/>
          <w:kern w:val="0"/>
          <w:sz w:val="24"/>
          <w:szCs w:val="24"/>
        </w:rPr>
        <w:t>资格的</w:t>
      </w:r>
      <w:r>
        <w:rPr>
          <w:rFonts w:hint="eastAsia" w:ascii="宋体" w:hAnsi="宋体" w:eastAsia="宋体" w:cs="宋体"/>
          <w:kern w:val="0"/>
          <w:sz w:val="24"/>
          <w:szCs w:val="24"/>
          <w:lang w:val="zh-CN"/>
        </w:rPr>
        <w:t>营业执照。（按照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附件十五</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的相关格式提供承诺函</w:t>
      </w:r>
      <w:r>
        <w:rPr>
          <w:rFonts w:hint="eastAsia" w:ascii="宋体" w:hAnsi="宋体" w:eastAsia="宋体" w:cs="宋体"/>
          <w:kern w:val="0"/>
          <w:sz w:val="24"/>
          <w:szCs w:val="24"/>
          <w:lang w:val="en-US" w:eastAsia="zh-CN"/>
        </w:rPr>
        <w:t>并提供营业执照复印件加盖公章</w:t>
      </w:r>
      <w:r>
        <w:rPr>
          <w:rFonts w:hint="eastAsia" w:ascii="宋体" w:hAnsi="宋体" w:eastAsia="宋体" w:cs="宋体"/>
          <w:sz w:val="24"/>
          <w:szCs w:val="24"/>
          <w:lang w:val="zh-CN"/>
        </w:rPr>
        <w:t>。）</w:t>
      </w:r>
    </w:p>
    <w:p w14:paraId="232BB7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0CBE4A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3.单位负责人为同一人或者存在直接控股、管理关系的不同投标人，不得参加本项目同一合同项下的政府采购活动。（</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十四</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w:t>
      </w:r>
      <w:r>
        <w:rPr>
          <w:rFonts w:hint="eastAsia" w:ascii="宋体" w:hAnsi="宋体" w:eastAsia="宋体" w:cs="宋体"/>
          <w:kern w:val="0"/>
          <w:sz w:val="24"/>
          <w:szCs w:val="24"/>
          <w:lang w:val="zh-CN"/>
        </w:rPr>
        <w:t>声明</w:t>
      </w:r>
      <w:r>
        <w:rPr>
          <w:rFonts w:hint="eastAsia" w:ascii="宋体" w:hAnsi="宋体" w:eastAsia="宋体" w:cs="宋体"/>
          <w:kern w:val="0"/>
          <w:sz w:val="24"/>
          <w:szCs w:val="24"/>
        </w:rPr>
        <w:t>函。）</w:t>
      </w:r>
    </w:p>
    <w:p w14:paraId="4AF6FC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.未被“信用中国”网站(www.creditchina.gov.cn)列入失信被执行人、重大税收违法</w:t>
      </w:r>
      <w:r>
        <w:rPr>
          <w:rFonts w:hint="eastAsia" w:ascii="宋体" w:hAnsi="宋体" w:eastAsia="宋体" w:cs="宋体"/>
          <w:kern w:val="0"/>
          <w:sz w:val="24"/>
          <w:szCs w:val="24"/>
          <w:lang w:val="en-US" w:eastAsia="zh-CN"/>
        </w:rPr>
        <w:t>失信主体</w:t>
      </w:r>
      <w:r>
        <w:rPr>
          <w:rFonts w:hint="eastAsia" w:ascii="宋体" w:hAnsi="宋体" w:eastAsia="宋体" w:cs="宋体"/>
          <w:kern w:val="0"/>
          <w:sz w:val="24"/>
          <w:szCs w:val="24"/>
        </w:rPr>
        <w:t>、政府采购严重违法失信行为记录名单的查询截图；（</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十二</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的相关要求提供。）</w:t>
      </w:r>
    </w:p>
    <w:p w14:paraId="0D1DF0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eastAsia="zh-CN"/>
        </w:rPr>
        <w:t>落实政府采购政策需满足的资格要求：</w:t>
      </w:r>
    </w:p>
    <w:p w14:paraId="59B88613">
      <w:pPr>
        <w:pStyle w:val="2"/>
        <w:keepNext w:val="0"/>
        <w:keepLines w:val="0"/>
        <w:pageBreakBefore w:val="0"/>
        <w:widowControl w:val="0"/>
        <w:kinsoku/>
        <w:wordWrap w:val="0"/>
        <w:overflowPunct/>
        <w:topLinePunct w:val="0"/>
        <w:autoSpaceDE w:val="0"/>
        <w:autoSpaceDN w:val="0"/>
        <w:bidi w:val="0"/>
        <w:adjustRightInd w:val="0"/>
        <w:snapToGrid w:val="0"/>
        <w:spacing w:line="400" w:lineRule="exact"/>
        <w:ind w:right="34"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rPr>
        <w:t>本项目为专门面向中小微企业，供应商须符合《中小企业划型标准规定》（工信部联企业〔2011〕300号）中</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工业</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对中小微企业划型的标准并提供《中小企业声明函》。大型企业及未提供《中小企业声明函》的企业其响应文件将作无效响应处理。</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提供承诺函，格式自拟</w:t>
      </w:r>
      <w:r>
        <w:rPr>
          <w:rFonts w:hint="eastAsia" w:ascii="宋体" w:hAnsi="宋体" w:eastAsia="宋体" w:cs="宋体"/>
          <w:color w:val="000000" w:themeColor="text1"/>
          <w:sz w:val="24"/>
          <w:szCs w:val="24"/>
          <w:lang w:eastAsia="zh-CN"/>
        </w:rPr>
        <w:t>）</w:t>
      </w:r>
    </w:p>
    <w:p w14:paraId="11EE0AE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lang w:val="en-US" w:eastAsia="zh-CN"/>
        </w:rPr>
      </w:pPr>
      <w:r>
        <w:rPr>
          <w:rFonts w:hint="eastAsia" w:ascii="宋体" w:hAnsi="宋体" w:eastAsia="宋体" w:cs="宋体"/>
          <w:kern w:val="2"/>
          <w:sz w:val="24"/>
          <w:szCs w:val="24"/>
          <w:lang w:val="en-US" w:eastAsia="zh-CN" w:bidi="ar-SA"/>
        </w:rPr>
        <w:t>6.供应商本单位及法定代表人声明近3年（发布公告之日起至投标截止日止前3年）在中国裁判文书网（</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"https://wenshu.court.gov.cn/"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http://wenshu.court.gov.cn/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）无行贿犯罪记录，提供网站查询结果截图，未提供的或有行贿犯罪记录的投标无效，取消其投标资格。</w:t>
      </w:r>
    </w:p>
    <w:p w14:paraId="11D578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7.本项目的</w:t>
      </w:r>
      <w:r>
        <w:rPr>
          <w:rFonts w:hint="eastAsia" w:ascii="宋体" w:hAnsi="宋体" w:eastAsia="宋体" w:cs="宋体"/>
          <w:kern w:val="0"/>
          <w:sz w:val="24"/>
          <w:szCs w:val="24"/>
          <w:lang w:val="zh-CN" w:eastAsia="zh-CN"/>
        </w:rPr>
        <w:t>特定</w:t>
      </w:r>
      <w:r>
        <w:rPr>
          <w:rFonts w:hint="eastAsia" w:ascii="宋体" w:hAnsi="宋体" w:eastAsia="宋体" w:cs="宋体"/>
          <w:kern w:val="0"/>
          <w:sz w:val="24"/>
          <w:szCs w:val="24"/>
          <w:lang w:val="en-US" w:eastAsia="zh-CN"/>
        </w:rPr>
        <w:t>资格要求：</w:t>
      </w:r>
      <w:r>
        <w:rPr>
          <w:rFonts w:hint="eastAsia" w:ascii="宋体" w:hAnsi="宋体" w:eastAsia="宋体" w:cs="宋体"/>
          <w:sz w:val="24"/>
          <w:szCs w:val="24"/>
          <w:lang w:val="en-US" w:eastAsia="zh-CN"/>
        </w:rPr>
        <w:t>无</w:t>
      </w:r>
    </w:p>
    <w:p w14:paraId="29195C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8.本项目不接受联合体参与谈判；不允许中标后分包。（提供声明函，格式自拟）</w:t>
      </w:r>
    </w:p>
    <w:p w14:paraId="66072573">
      <w:pPr>
        <w:rPr>
          <w:rFonts w:hint="eastAsia" w:ascii="宋体" w:hAnsi="宋体" w:eastAsia="宋体" w:cs="宋体"/>
          <w:b/>
          <w:kern w:val="0"/>
          <w:sz w:val="24"/>
          <w:szCs w:val="24"/>
        </w:rPr>
      </w:pPr>
    </w:p>
    <w:sectPr>
      <w:footerReference r:id="rId3" w:type="default"/>
      <w:pgSz w:w="11906" w:h="16838"/>
      <w:pgMar w:top="1100" w:right="1026" w:bottom="1043" w:left="125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85A2">
    <w:pPr>
      <w:jc w:val="center"/>
      <w:rPr>
        <w:rFonts w:hint="eastAsia" w:eastAsiaTheme="minorEastAsia"/>
        <w:lang w:val="en-US" w:eastAsia="zh-CN"/>
      </w:rPr>
    </w:pPr>
    <w:r>
      <w:rPr>
        <w:sz w:val="21"/>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FD8078">
                <w:pPr>
                  <w:pStyle w:val="1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FmYjRkMmEwMDY1ODBiYzNhYzc4ZDBiOGNhNDdhMTQifQ=="/>
    <w:docVar w:name="KSO_WPS_MARK_KEY" w:val="f6394016-a896-4416-9308-26ede75888fb"/>
  </w:docVars>
  <w:rsids>
    <w:rsidRoot w:val="00C11FD5"/>
    <w:rsid w:val="000B7111"/>
    <w:rsid w:val="001175B8"/>
    <w:rsid w:val="001E0A3F"/>
    <w:rsid w:val="002432AD"/>
    <w:rsid w:val="003A4A4E"/>
    <w:rsid w:val="00492E15"/>
    <w:rsid w:val="004B376C"/>
    <w:rsid w:val="006135F8"/>
    <w:rsid w:val="00613F6E"/>
    <w:rsid w:val="008B7B2A"/>
    <w:rsid w:val="0092357C"/>
    <w:rsid w:val="009418E3"/>
    <w:rsid w:val="009546AA"/>
    <w:rsid w:val="009A633A"/>
    <w:rsid w:val="00A56FA5"/>
    <w:rsid w:val="00A70931"/>
    <w:rsid w:val="00A81744"/>
    <w:rsid w:val="00A91129"/>
    <w:rsid w:val="00B333BE"/>
    <w:rsid w:val="00BB00C8"/>
    <w:rsid w:val="00C03EAF"/>
    <w:rsid w:val="00C11FD5"/>
    <w:rsid w:val="00C15D94"/>
    <w:rsid w:val="00C20DB5"/>
    <w:rsid w:val="00CA64F6"/>
    <w:rsid w:val="00CB34F1"/>
    <w:rsid w:val="00CD5D68"/>
    <w:rsid w:val="00D126F8"/>
    <w:rsid w:val="00D752C4"/>
    <w:rsid w:val="00D80D84"/>
    <w:rsid w:val="00E71155"/>
    <w:rsid w:val="00E86489"/>
    <w:rsid w:val="00EC22A9"/>
    <w:rsid w:val="00FB4D84"/>
    <w:rsid w:val="00FC27BF"/>
    <w:rsid w:val="01206357"/>
    <w:rsid w:val="014D0B1B"/>
    <w:rsid w:val="019B58B7"/>
    <w:rsid w:val="019C6790"/>
    <w:rsid w:val="01E90844"/>
    <w:rsid w:val="020B355E"/>
    <w:rsid w:val="03395986"/>
    <w:rsid w:val="0434249E"/>
    <w:rsid w:val="04536448"/>
    <w:rsid w:val="047A5971"/>
    <w:rsid w:val="04BA617D"/>
    <w:rsid w:val="04CF17AF"/>
    <w:rsid w:val="05511346"/>
    <w:rsid w:val="058B555F"/>
    <w:rsid w:val="059C3D37"/>
    <w:rsid w:val="05B03F89"/>
    <w:rsid w:val="05C749EB"/>
    <w:rsid w:val="05D2113E"/>
    <w:rsid w:val="05D5553B"/>
    <w:rsid w:val="060318FF"/>
    <w:rsid w:val="06186C01"/>
    <w:rsid w:val="06195B75"/>
    <w:rsid w:val="06236E64"/>
    <w:rsid w:val="06862B05"/>
    <w:rsid w:val="06B95095"/>
    <w:rsid w:val="071B0E34"/>
    <w:rsid w:val="07621878"/>
    <w:rsid w:val="07AF4C90"/>
    <w:rsid w:val="08113165"/>
    <w:rsid w:val="086061EF"/>
    <w:rsid w:val="088432B0"/>
    <w:rsid w:val="08985635"/>
    <w:rsid w:val="08A22877"/>
    <w:rsid w:val="08C41FB3"/>
    <w:rsid w:val="090A68AC"/>
    <w:rsid w:val="09464F2B"/>
    <w:rsid w:val="098F6083"/>
    <w:rsid w:val="0A106DE3"/>
    <w:rsid w:val="0A4D3415"/>
    <w:rsid w:val="0A5A079D"/>
    <w:rsid w:val="0A6F38B0"/>
    <w:rsid w:val="0AA3355A"/>
    <w:rsid w:val="0ADF0B81"/>
    <w:rsid w:val="0B58376C"/>
    <w:rsid w:val="0B82360D"/>
    <w:rsid w:val="0B8C5E74"/>
    <w:rsid w:val="0BE03066"/>
    <w:rsid w:val="0BE738C0"/>
    <w:rsid w:val="0BFA6B63"/>
    <w:rsid w:val="0C066C74"/>
    <w:rsid w:val="0C344430"/>
    <w:rsid w:val="0C9834D5"/>
    <w:rsid w:val="0D257BDE"/>
    <w:rsid w:val="0D5908CF"/>
    <w:rsid w:val="0D75277E"/>
    <w:rsid w:val="0D935046"/>
    <w:rsid w:val="0DFE3EA8"/>
    <w:rsid w:val="0E273362"/>
    <w:rsid w:val="0EC56FF1"/>
    <w:rsid w:val="0EF1255F"/>
    <w:rsid w:val="0F38602A"/>
    <w:rsid w:val="0F722BEA"/>
    <w:rsid w:val="103528A0"/>
    <w:rsid w:val="1041272D"/>
    <w:rsid w:val="109F4794"/>
    <w:rsid w:val="11611F7D"/>
    <w:rsid w:val="11D5791E"/>
    <w:rsid w:val="11F56D91"/>
    <w:rsid w:val="122A75D4"/>
    <w:rsid w:val="124A176C"/>
    <w:rsid w:val="129D0EB1"/>
    <w:rsid w:val="12A8563E"/>
    <w:rsid w:val="12D12927"/>
    <w:rsid w:val="12D6271E"/>
    <w:rsid w:val="13370CE3"/>
    <w:rsid w:val="13792C78"/>
    <w:rsid w:val="14211E28"/>
    <w:rsid w:val="15152964"/>
    <w:rsid w:val="15284D87"/>
    <w:rsid w:val="1588503E"/>
    <w:rsid w:val="15EA028F"/>
    <w:rsid w:val="16910936"/>
    <w:rsid w:val="16922DED"/>
    <w:rsid w:val="16EF1EAF"/>
    <w:rsid w:val="16F75418"/>
    <w:rsid w:val="1705363E"/>
    <w:rsid w:val="1816221A"/>
    <w:rsid w:val="18415273"/>
    <w:rsid w:val="188C2427"/>
    <w:rsid w:val="18B858AC"/>
    <w:rsid w:val="19126096"/>
    <w:rsid w:val="192064EC"/>
    <w:rsid w:val="197E0FB5"/>
    <w:rsid w:val="1A591ACD"/>
    <w:rsid w:val="1A7C37CC"/>
    <w:rsid w:val="1A9E4D35"/>
    <w:rsid w:val="1AA75680"/>
    <w:rsid w:val="1B660EBC"/>
    <w:rsid w:val="1BDB2B53"/>
    <w:rsid w:val="1C1B01C1"/>
    <w:rsid w:val="1C444B9D"/>
    <w:rsid w:val="1C6E15C4"/>
    <w:rsid w:val="1C775FC2"/>
    <w:rsid w:val="1D890E87"/>
    <w:rsid w:val="1DA310D4"/>
    <w:rsid w:val="1DCA10D2"/>
    <w:rsid w:val="1DD12ABC"/>
    <w:rsid w:val="1E432482"/>
    <w:rsid w:val="1F43075E"/>
    <w:rsid w:val="1FB96A01"/>
    <w:rsid w:val="1FBA1788"/>
    <w:rsid w:val="208B152C"/>
    <w:rsid w:val="2122430B"/>
    <w:rsid w:val="214158A5"/>
    <w:rsid w:val="21440120"/>
    <w:rsid w:val="2152522B"/>
    <w:rsid w:val="21665643"/>
    <w:rsid w:val="216B7F87"/>
    <w:rsid w:val="21817CF9"/>
    <w:rsid w:val="22197211"/>
    <w:rsid w:val="23435BB6"/>
    <w:rsid w:val="237A3A15"/>
    <w:rsid w:val="23B175E7"/>
    <w:rsid w:val="23BF2B98"/>
    <w:rsid w:val="247E49C4"/>
    <w:rsid w:val="24923B9A"/>
    <w:rsid w:val="24EC1036"/>
    <w:rsid w:val="26003500"/>
    <w:rsid w:val="26180ED5"/>
    <w:rsid w:val="267674BE"/>
    <w:rsid w:val="27DA01AE"/>
    <w:rsid w:val="281A4A03"/>
    <w:rsid w:val="285E7035"/>
    <w:rsid w:val="288047C5"/>
    <w:rsid w:val="288708DA"/>
    <w:rsid w:val="28B112DC"/>
    <w:rsid w:val="28FB2A87"/>
    <w:rsid w:val="2933736D"/>
    <w:rsid w:val="295C1E6C"/>
    <w:rsid w:val="299E32B8"/>
    <w:rsid w:val="2A4F64B2"/>
    <w:rsid w:val="2AA41C26"/>
    <w:rsid w:val="2AEC508F"/>
    <w:rsid w:val="2AF90EF6"/>
    <w:rsid w:val="2B727EEF"/>
    <w:rsid w:val="2BB1567F"/>
    <w:rsid w:val="2BDE625A"/>
    <w:rsid w:val="2C7A370A"/>
    <w:rsid w:val="2C8A52CE"/>
    <w:rsid w:val="2CB2354E"/>
    <w:rsid w:val="2D545A87"/>
    <w:rsid w:val="2DB41456"/>
    <w:rsid w:val="2F191EB9"/>
    <w:rsid w:val="2F2E3CCB"/>
    <w:rsid w:val="2F302A9D"/>
    <w:rsid w:val="2FF122A5"/>
    <w:rsid w:val="2FF674D8"/>
    <w:rsid w:val="300264A9"/>
    <w:rsid w:val="30334F51"/>
    <w:rsid w:val="30A157FE"/>
    <w:rsid w:val="311746B6"/>
    <w:rsid w:val="313A6EA3"/>
    <w:rsid w:val="317E28EE"/>
    <w:rsid w:val="31B66EF9"/>
    <w:rsid w:val="31FA150D"/>
    <w:rsid w:val="32283A86"/>
    <w:rsid w:val="32563A36"/>
    <w:rsid w:val="32EA05E8"/>
    <w:rsid w:val="3388614E"/>
    <w:rsid w:val="34813828"/>
    <w:rsid w:val="349B7314"/>
    <w:rsid w:val="34CF056C"/>
    <w:rsid w:val="35475D70"/>
    <w:rsid w:val="356F0FC6"/>
    <w:rsid w:val="362633A0"/>
    <w:rsid w:val="375D4249"/>
    <w:rsid w:val="37B06B8C"/>
    <w:rsid w:val="381500F2"/>
    <w:rsid w:val="3819236B"/>
    <w:rsid w:val="38F36E2B"/>
    <w:rsid w:val="39227BBC"/>
    <w:rsid w:val="39C16AC0"/>
    <w:rsid w:val="39DC65FB"/>
    <w:rsid w:val="39E976D1"/>
    <w:rsid w:val="3A7C2446"/>
    <w:rsid w:val="3AE570F3"/>
    <w:rsid w:val="3B1E7C59"/>
    <w:rsid w:val="3B3F5D44"/>
    <w:rsid w:val="3BD07CD5"/>
    <w:rsid w:val="3C4340D1"/>
    <w:rsid w:val="3C9B5B55"/>
    <w:rsid w:val="3D7809B2"/>
    <w:rsid w:val="3DC53D46"/>
    <w:rsid w:val="3E523778"/>
    <w:rsid w:val="3E56725C"/>
    <w:rsid w:val="3F083823"/>
    <w:rsid w:val="3F2C52F0"/>
    <w:rsid w:val="3FAE00D6"/>
    <w:rsid w:val="3FB83493"/>
    <w:rsid w:val="3FDB5E5B"/>
    <w:rsid w:val="3FE01AAF"/>
    <w:rsid w:val="40664832"/>
    <w:rsid w:val="40744A9C"/>
    <w:rsid w:val="4075383F"/>
    <w:rsid w:val="419106B9"/>
    <w:rsid w:val="42210F47"/>
    <w:rsid w:val="42EB4561"/>
    <w:rsid w:val="433E1515"/>
    <w:rsid w:val="434A08F0"/>
    <w:rsid w:val="439C5266"/>
    <w:rsid w:val="43EF0A93"/>
    <w:rsid w:val="446D6F97"/>
    <w:rsid w:val="44783DB0"/>
    <w:rsid w:val="45986F93"/>
    <w:rsid w:val="45B82D96"/>
    <w:rsid w:val="45E048D6"/>
    <w:rsid w:val="45E16709"/>
    <w:rsid w:val="45EA39EA"/>
    <w:rsid w:val="46D94D40"/>
    <w:rsid w:val="47583EB4"/>
    <w:rsid w:val="47B00D12"/>
    <w:rsid w:val="47B510EF"/>
    <w:rsid w:val="48184545"/>
    <w:rsid w:val="481E1E96"/>
    <w:rsid w:val="484F4FF8"/>
    <w:rsid w:val="48916432"/>
    <w:rsid w:val="48B4580D"/>
    <w:rsid w:val="48CE7E75"/>
    <w:rsid w:val="4909701C"/>
    <w:rsid w:val="49227764"/>
    <w:rsid w:val="498B084B"/>
    <w:rsid w:val="49A66479"/>
    <w:rsid w:val="49C95D3D"/>
    <w:rsid w:val="4AD219DB"/>
    <w:rsid w:val="4B19407C"/>
    <w:rsid w:val="4B35552D"/>
    <w:rsid w:val="4B7C315C"/>
    <w:rsid w:val="4BAE5353"/>
    <w:rsid w:val="4C485734"/>
    <w:rsid w:val="4C6B28C7"/>
    <w:rsid w:val="4CB80AD8"/>
    <w:rsid w:val="4D702716"/>
    <w:rsid w:val="4DAB6AEA"/>
    <w:rsid w:val="4F41292D"/>
    <w:rsid w:val="4F611C1F"/>
    <w:rsid w:val="4F9C22D5"/>
    <w:rsid w:val="4FF874C1"/>
    <w:rsid w:val="508F3EC5"/>
    <w:rsid w:val="50B05305"/>
    <w:rsid w:val="51A21F91"/>
    <w:rsid w:val="51B37EF7"/>
    <w:rsid w:val="51DD0FDA"/>
    <w:rsid w:val="52506BF6"/>
    <w:rsid w:val="525E3B09"/>
    <w:rsid w:val="52B21C1A"/>
    <w:rsid w:val="52D10451"/>
    <w:rsid w:val="532E5168"/>
    <w:rsid w:val="54312EF5"/>
    <w:rsid w:val="54342932"/>
    <w:rsid w:val="5454111A"/>
    <w:rsid w:val="5456089B"/>
    <w:rsid w:val="54796BED"/>
    <w:rsid w:val="54A1575E"/>
    <w:rsid w:val="553975AF"/>
    <w:rsid w:val="558F7F2F"/>
    <w:rsid w:val="55ED7513"/>
    <w:rsid w:val="56003E06"/>
    <w:rsid w:val="561A1EEF"/>
    <w:rsid w:val="56444644"/>
    <w:rsid w:val="56565420"/>
    <w:rsid w:val="582C2448"/>
    <w:rsid w:val="58FF72C4"/>
    <w:rsid w:val="5948117B"/>
    <w:rsid w:val="594A5DDB"/>
    <w:rsid w:val="59543A9F"/>
    <w:rsid w:val="59722216"/>
    <w:rsid w:val="59A71AAC"/>
    <w:rsid w:val="59CA4CDB"/>
    <w:rsid w:val="5A2606D9"/>
    <w:rsid w:val="5A6059B3"/>
    <w:rsid w:val="5ACB0EAD"/>
    <w:rsid w:val="5B830430"/>
    <w:rsid w:val="5B9424EE"/>
    <w:rsid w:val="5C1B60C3"/>
    <w:rsid w:val="5C90679F"/>
    <w:rsid w:val="5C9E4CB6"/>
    <w:rsid w:val="5CB8213C"/>
    <w:rsid w:val="5CD14F59"/>
    <w:rsid w:val="5CF03D08"/>
    <w:rsid w:val="5D273852"/>
    <w:rsid w:val="5D58673D"/>
    <w:rsid w:val="5E135BA1"/>
    <w:rsid w:val="5E1C432A"/>
    <w:rsid w:val="5ED70E0D"/>
    <w:rsid w:val="5F182C74"/>
    <w:rsid w:val="5F54553D"/>
    <w:rsid w:val="5F921ECC"/>
    <w:rsid w:val="601D2A5F"/>
    <w:rsid w:val="604F7A03"/>
    <w:rsid w:val="606A616B"/>
    <w:rsid w:val="6075396B"/>
    <w:rsid w:val="60AB7B28"/>
    <w:rsid w:val="60D45D2D"/>
    <w:rsid w:val="61002A7A"/>
    <w:rsid w:val="612D6930"/>
    <w:rsid w:val="616C7377"/>
    <w:rsid w:val="61ED4A32"/>
    <w:rsid w:val="62034E0A"/>
    <w:rsid w:val="62AF1995"/>
    <w:rsid w:val="62C0313B"/>
    <w:rsid w:val="62DB32E4"/>
    <w:rsid w:val="631F1497"/>
    <w:rsid w:val="636152E0"/>
    <w:rsid w:val="63780255"/>
    <w:rsid w:val="637E5499"/>
    <w:rsid w:val="63B03E93"/>
    <w:rsid w:val="63B24EF2"/>
    <w:rsid w:val="63E94CAF"/>
    <w:rsid w:val="641D4E1C"/>
    <w:rsid w:val="648D5AA9"/>
    <w:rsid w:val="64BF47AE"/>
    <w:rsid w:val="64E57599"/>
    <w:rsid w:val="65B01348"/>
    <w:rsid w:val="65B50339"/>
    <w:rsid w:val="65D93EF7"/>
    <w:rsid w:val="670F0ED0"/>
    <w:rsid w:val="673247A9"/>
    <w:rsid w:val="675810DA"/>
    <w:rsid w:val="679450AE"/>
    <w:rsid w:val="67E73BFB"/>
    <w:rsid w:val="68957677"/>
    <w:rsid w:val="69213C95"/>
    <w:rsid w:val="695D1ECF"/>
    <w:rsid w:val="69B93CD2"/>
    <w:rsid w:val="69DF5624"/>
    <w:rsid w:val="6A6E4160"/>
    <w:rsid w:val="6B0C430E"/>
    <w:rsid w:val="6B157442"/>
    <w:rsid w:val="6BB96A0A"/>
    <w:rsid w:val="6CB41E4C"/>
    <w:rsid w:val="6D2E30C9"/>
    <w:rsid w:val="6D36744A"/>
    <w:rsid w:val="6D90115B"/>
    <w:rsid w:val="6DBB590E"/>
    <w:rsid w:val="6DDD03E3"/>
    <w:rsid w:val="6DF717B4"/>
    <w:rsid w:val="6E102521"/>
    <w:rsid w:val="6E590529"/>
    <w:rsid w:val="6E6B2E90"/>
    <w:rsid w:val="6EB04D79"/>
    <w:rsid w:val="6EB843CF"/>
    <w:rsid w:val="6F231636"/>
    <w:rsid w:val="6F237CCE"/>
    <w:rsid w:val="6F35691B"/>
    <w:rsid w:val="6F445719"/>
    <w:rsid w:val="6F6B536A"/>
    <w:rsid w:val="6F704612"/>
    <w:rsid w:val="6FB201EB"/>
    <w:rsid w:val="70370FCC"/>
    <w:rsid w:val="71576CB8"/>
    <w:rsid w:val="71796CF1"/>
    <w:rsid w:val="71B65856"/>
    <w:rsid w:val="71F12361"/>
    <w:rsid w:val="72000B49"/>
    <w:rsid w:val="726B3219"/>
    <w:rsid w:val="72785B7B"/>
    <w:rsid w:val="72847AD5"/>
    <w:rsid w:val="72E8629E"/>
    <w:rsid w:val="72EB0A43"/>
    <w:rsid w:val="731872F6"/>
    <w:rsid w:val="73F17576"/>
    <w:rsid w:val="74003E26"/>
    <w:rsid w:val="7409589F"/>
    <w:rsid w:val="7430794B"/>
    <w:rsid w:val="74BB4B8A"/>
    <w:rsid w:val="75A74BF3"/>
    <w:rsid w:val="7655236E"/>
    <w:rsid w:val="76962A74"/>
    <w:rsid w:val="76EA0A1C"/>
    <w:rsid w:val="76FA1F54"/>
    <w:rsid w:val="7776476A"/>
    <w:rsid w:val="77A460A2"/>
    <w:rsid w:val="77D53B2E"/>
    <w:rsid w:val="77EA721B"/>
    <w:rsid w:val="78541238"/>
    <w:rsid w:val="788D7468"/>
    <w:rsid w:val="78B94BEC"/>
    <w:rsid w:val="790F073B"/>
    <w:rsid w:val="79355919"/>
    <w:rsid w:val="79702C7F"/>
    <w:rsid w:val="799A4025"/>
    <w:rsid w:val="79EB3D68"/>
    <w:rsid w:val="7A524D92"/>
    <w:rsid w:val="7A707A80"/>
    <w:rsid w:val="7AAD5D79"/>
    <w:rsid w:val="7AB05618"/>
    <w:rsid w:val="7B026B4B"/>
    <w:rsid w:val="7B827A6B"/>
    <w:rsid w:val="7BB01E8F"/>
    <w:rsid w:val="7BE60B36"/>
    <w:rsid w:val="7BEC09C3"/>
    <w:rsid w:val="7C06069C"/>
    <w:rsid w:val="7CC435AB"/>
    <w:rsid w:val="7CE032FD"/>
    <w:rsid w:val="7D894B35"/>
    <w:rsid w:val="7D91463E"/>
    <w:rsid w:val="7E2E5822"/>
    <w:rsid w:val="7E4B05E8"/>
    <w:rsid w:val="7EB550C0"/>
    <w:rsid w:val="7F5F2CC2"/>
    <w:rsid w:val="7F851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1"/>
    <w:qFormat/>
    <w:uiPriority w:val="9"/>
    <w:pPr>
      <w:keepNext/>
      <w:keepLines/>
      <w:spacing w:line="576" w:lineRule="auto"/>
      <w:outlineLvl w:val="0"/>
    </w:pPr>
    <w:rPr>
      <w:b/>
      <w:kern w:val="44"/>
      <w:sz w:val="44"/>
    </w:rPr>
  </w:style>
  <w:style w:type="paragraph" w:styleId="4">
    <w:name w:val="heading 2"/>
    <w:basedOn w:val="1"/>
    <w:next w:val="1"/>
    <w:link w:val="32"/>
    <w:semiHidden/>
    <w:unhideWhenUsed/>
    <w:qFormat/>
    <w:uiPriority w:val="9"/>
    <w:pPr>
      <w:keepNext/>
      <w:keepLines/>
      <w:spacing w:line="413" w:lineRule="auto"/>
      <w:outlineLvl w:val="1"/>
    </w:pPr>
    <w:rPr>
      <w:rFonts w:ascii="Arial" w:hAnsi="Arial" w:eastAsia="黑体"/>
      <w:b/>
      <w:sz w:val="32"/>
    </w:rPr>
  </w:style>
  <w:style w:type="paragraph" w:styleId="5">
    <w:name w:val="heading 3"/>
    <w:basedOn w:val="1"/>
    <w:next w:val="1"/>
    <w:link w:val="33"/>
    <w:semiHidden/>
    <w:unhideWhenUsed/>
    <w:qFormat/>
    <w:uiPriority w:val="9"/>
    <w:pPr>
      <w:keepNext/>
      <w:keepLines/>
      <w:spacing w:line="413" w:lineRule="auto"/>
      <w:outlineLvl w:val="2"/>
    </w:pPr>
    <w:rPr>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30"/>
    </w:rPr>
  </w:style>
  <w:style w:type="paragraph" w:styleId="7">
    <w:name w:val="toc 7"/>
    <w:basedOn w:val="1"/>
    <w:next w:val="1"/>
    <w:unhideWhenUsed/>
    <w:qFormat/>
    <w:uiPriority w:val="39"/>
    <w:pPr>
      <w:widowControl w:val="0"/>
      <w:ind w:left="2520" w:leftChars="1200"/>
      <w:jc w:val="both"/>
    </w:pPr>
  </w:style>
  <w:style w:type="paragraph" w:styleId="8">
    <w:name w:val="Body Text Indent"/>
    <w:basedOn w:val="1"/>
    <w:link w:val="26"/>
    <w:semiHidden/>
    <w:unhideWhenUsed/>
    <w:qFormat/>
    <w:uiPriority w:val="0"/>
    <w:pPr>
      <w:spacing w:after="120"/>
      <w:ind w:left="420" w:leftChars="200"/>
    </w:pPr>
  </w:style>
  <w:style w:type="paragraph" w:styleId="9">
    <w:name w:val="Plain Text"/>
    <w:basedOn w:val="1"/>
    <w:next w:val="1"/>
    <w:link w:val="28"/>
    <w:semiHidden/>
    <w:unhideWhenUsed/>
    <w:qFormat/>
    <w:uiPriority w:val="0"/>
    <w:rPr>
      <w:rFonts w:ascii="宋体" w:hAnsi="Courier New" w:cs="Courier New"/>
      <w:szCs w:val="21"/>
    </w:rPr>
  </w:style>
  <w:style w:type="paragraph" w:styleId="10">
    <w:name w:val="Date"/>
    <w:basedOn w:val="1"/>
    <w:next w:val="1"/>
    <w:link w:val="27"/>
    <w:semiHidden/>
    <w:unhideWhenUsed/>
    <w:qFormat/>
    <w:uiPriority w:val="99"/>
    <w:pPr>
      <w:ind w:left="100" w:leftChars="2500"/>
    </w:pPr>
  </w:style>
  <w:style w:type="paragraph" w:styleId="11">
    <w:name w:val="Balloon Text"/>
    <w:basedOn w:val="1"/>
    <w:link w:val="30"/>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0"/>
    <w:pPr>
      <w:tabs>
        <w:tab w:val="center" w:pos="4153"/>
        <w:tab w:val="right" w:pos="8306"/>
      </w:tabs>
      <w:snapToGrid w:val="0"/>
    </w:pPr>
    <w:rPr>
      <w:sz w:val="18"/>
    </w:rPr>
  </w:style>
  <w:style w:type="paragraph" w:styleId="14">
    <w:name w:val="toc 1"/>
    <w:basedOn w:val="1"/>
    <w:next w:val="1"/>
    <w:semiHidden/>
    <w:unhideWhenUsed/>
    <w:qFormat/>
    <w:uiPriority w:val="39"/>
  </w:style>
  <w:style w:type="paragraph" w:styleId="15">
    <w:name w:val="Normal (Web)"/>
    <w:basedOn w:val="1"/>
    <w:qFormat/>
    <w:uiPriority w:val="0"/>
    <w:rPr>
      <w:sz w:val="24"/>
    </w:rPr>
  </w:style>
  <w:style w:type="table" w:styleId="17">
    <w:name w:val="Table Grid"/>
    <w:basedOn w:val="1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qFormat/>
    <w:uiPriority w:val="0"/>
  </w:style>
  <w:style w:type="character" w:styleId="20">
    <w:name w:val="Hyperlink"/>
    <w:basedOn w:val="18"/>
    <w:qFormat/>
    <w:uiPriority w:val="99"/>
    <w:rPr>
      <w:rFonts w:cs="Times New Roman"/>
      <w:color w:val="0000FF"/>
      <w:u w:val="single"/>
    </w:rPr>
  </w:style>
  <w:style w:type="paragraph" w:customStyle="1" w:styleId="21">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customStyle="1" w:styleId="22">
    <w:name w:val="段"/>
    <w:next w:val="23"/>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3">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24">
    <w:name w:val="页眉 Char"/>
    <w:basedOn w:val="18"/>
    <w:link w:val="13"/>
    <w:qFormat/>
    <w:uiPriority w:val="0"/>
    <w:rPr>
      <w:sz w:val="18"/>
      <w:szCs w:val="24"/>
    </w:rPr>
  </w:style>
  <w:style w:type="character" w:customStyle="1" w:styleId="25">
    <w:name w:val="页脚 Char"/>
    <w:basedOn w:val="18"/>
    <w:link w:val="12"/>
    <w:qFormat/>
    <w:uiPriority w:val="99"/>
    <w:rPr>
      <w:sz w:val="18"/>
      <w:szCs w:val="18"/>
    </w:rPr>
  </w:style>
  <w:style w:type="character" w:customStyle="1" w:styleId="26">
    <w:name w:val="正文文本缩进 Char"/>
    <w:basedOn w:val="18"/>
    <w:link w:val="8"/>
    <w:semiHidden/>
    <w:qFormat/>
    <w:uiPriority w:val="0"/>
    <w:rPr>
      <w:szCs w:val="24"/>
    </w:rPr>
  </w:style>
  <w:style w:type="character" w:customStyle="1" w:styleId="27">
    <w:name w:val="日期 Char"/>
    <w:basedOn w:val="18"/>
    <w:link w:val="10"/>
    <w:semiHidden/>
    <w:qFormat/>
    <w:uiPriority w:val="99"/>
    <w:rPr>
      <w:szCs w:val="24"/>
    </w:rPr>
  </w:style>
  <w:style w:type="character" w:customStyle="1" w:styleId="28">
    <w:name w:val="纯文本 Char"/>
    <w:basedOn w:val="18"/>
    <w:link w:val="9"/>
    <w:semiHidden/>
    <w:qFormat/>
    <w:uiPriority w:val="0"/>
    <w:rPr>
      <w:rFonts w:ascii="宋体" w:hAnsi="Courier New" w:cs="Courier New"/>
      <w:szCs w:val="21"/>
    </w:rPr>
  </w:style>
  <w:style w:type="paragraph" w:styleId="29">
    <w:name w:val="List Paragraph"/>
    <w:basedOn w:val="1"/>
    <w:qFormat/>
    <w:uiPriority w:val="99"/>
    <w:pPr>
      <w:ind w:firstLine="420" w:firstLineChars="200"/>
    </w:pPr>
  </w:style>
  <w:style w:type="character" w:customStyle="1" w:styleId="30">
    <w:name w:val="批注框文本 Char"/>
    <w:basedOn w:val="18"/>
    <w:link w:val="11"/>
    <w:semiHidden/>
    <w:qFormat/>
    <w:uiPriority w:val="99"/>
    <w:rPr>
      <w:sz w:val="18"/>
      <w:szCs w:val="18"/>
    </w:rPr>
  </w:style>
  <w:style w:type="character" w:customStyle="1" w:styleId="31">
    <w:name w:val="标题 1 Char"/>
    <w:link w:val="3"/>
    <w:qFormat/>
    <w:uiPriority w:val="0"/>
    <w:rPr>
      <w:b/>
      <w:kern w:val="44"/>
      <w:sz w:val="44"/>
    </w:rPr>
  </w:style>
  <w:style w:type="character" w:customStyle="1" w:styleId="32">
    <w:name w:val="标题 2 Char"/>
    <w:link w:val="4"/>
    <w:qFormat/>
    <w:uiPriority w:val="0"/>
    <w:rPr>
      <w:rFonts w:ascii="Arial" w:hAnsi="Arial" w:eastAsia="黑体"/>
      <w:b/>
      <w:sz w:val="32"/>
    </w:rPr>
  </w:style>
  <w:style w:type="character" w:customStyle="1" w:styleId="33">
    <w:name w:val="标题 3 Char"/>
    <w:link w:val="5"/>
    <w:qFormat/>
    <w:uiPriority w:val="0"/>
    <w:rPr>
      <w:b/>
      <w:sz w:val="32"/>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忠信技术</Company>
  <Pages>31</Pages>
  <Words>7576</Words>
  <Characters>8195</Characters>
  <Lines>67</Lines>
  <Paragraphs>19</Paragraphs>
  <TotalTime>0</TotalTime>
  <ScaleCrop>false</ScaleCrop>
  <LinksUpToDate>false</LinksUpToDate>
  <CharactersWithSpaces>8297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2018-12-06T01:21:00Z</dcterms:created>
  <dc:creator>NTKO</dc:creator>
  <cp:lastModifiedBy>Administrator</cp:lastModifiedBy>
  <cp:lastPrinted>2024-08-23T08:44:00Z</cp:lastPrinted>
  <dcterms:modified xsi:type="dcterms:W3CDTF">2026-01-23T03:59:20Z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A9799F847CDB492599BAB1537C17DD9A</vt:lpwstr>
  </property>
  <property fmtid="{D5CDD505-2E9C-101B-9397-08002B2CF9AE}" pid="4" name="KSOTemplateDocerSaveRecord">
    <vt:lpwstr>eyJoZGlkIjoiMjBlOWFiYTk2Yjc3OThlODJjYzI4NzExMjY2ZDlhODkiLCJ1c2VySWQiOiIxMTczNTY2Njc3In0=</vt:lpwstr>
  </property>
</Properties>
</file>